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73763"/>
          <w:sz w:val="44"/>
          <w:szCs w:val="44"/>
        </w:rPr>
        <w:t xml:space="preserve">Registro de Stakeholders</w:t>
      </w:r>
    </w:p>
    <w:p>
      <w:pPr>
        <w:spacing w:after="160"/>
        <w:jc w:val="center"/>
      </w:pPr>
      <w:r>
        <w:rPr>
          <w:rFonts w:ascii="Arial" w:cs="Arial" w:eastAsia="Arial" w:hAnsi="Arial"/>
          <w:color w:val="C9A227"/>
          <w:sz w:val="22"/>
          <w:szCs w:val="22"/>
        </w:rPr>
        <w:t xml:space="preserve">━━━━━</w:t>
      </w:r>
    </w:p>
    <w:p>
      <w:pPr>
        <w:spacing w:after="1600"/>
        <w:jc w:val="center"/>
      </w:pPr>
      <w:r>
        <w:rPr>
          <w:rFonts w:ascii="Arial" w:cs="Arial" w:eastAsia="Arial" w:hAnsi="Arial"/>
          <w:color w:val="595959"/>
          <w:sz w:val="24"/>
          <w:szCs w:val="24"/>
        </w:rPr>
        <w:t xml:space="preserve">KontadorIA · Sistema de Finanzas para PYMEs</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tblGrid>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Asignatura</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Capstone</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Sección</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005D</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Docente</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Cindy Contador</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Sede</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Antonio Varas</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Integrantes</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Diego Gallardo · Scrum Master</w:t>
            </w:r>
          </w:p>
          <w:p>
            <w:r>
              <w:rPr>
                <w:rFonts w:ascii="Arial" w:cs="Arial" w:eastAsia="Arial" w:hAnsi="Arial"/>
                <w:b w:val="false"/>
                <w:bCs w:val="false"/>
                <w:color w:val="262626"/>
                <w:sz w:val="18"/>
                <w:szCs w:val="18"/>
              </w:rPr>
              <w:t xml:space="preserve">Vicente Hermosilla · Product Owner</w:t>
            </w:r>
          </w:p>
          <w:p>
            <w:r>
              <w:rPr>
                <w:rFonts w:ascii="Arial" w:cs="Arial" w:eastAsia="Arial" w:hAnsi="Arial"/>
                <w:b w:val="false"/>
                <w:bCs w:val="false"/>
                <w:color w:val="262626"/>
                <w:sz w:val="18"/>
                <w:szCs w:val="18"/>
              </w:rPr>
              <w:t xml:space="preserve">Felipe Quezada · Desarrollador</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Versión</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2.0</w:t>
            </w:r>
          </w:p>
        </w:tc>
      </w:tr>
      <w:tr>
        <w:tc>
          <w:tcPr>
            <w:tcW w:type="dxa" w:w="16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bCs/>
                <w:color w:val="073763"/>
                <w:sz w:val="18"/>
                <w:szCs w:val="18"/>
              </w:rPr>
              <w:t xml:space="preserve">Fecha</w:t>
            </w:r>
          </w:p>
        </w:tc>
        <w:tc>
          <w:tcPr>
            <w:tcW w:type="dxa" w:w="5000"/>
            <w:tcBorders>
              <w:top w:val="none" w:color="FFFFFF" w:sz="0"/>
              <w:left w:val="none" w:color="FFFFFF" w:sz="0"/>
              <w:bottom w:val="single" w:color="D9E1EC" w:sz="4"/>
              <w:right w:val="none" w:color="FFFFFF" w:sz="0"/>
            </w:tcBorders>
            <w:tcMar>
              <w:top w:type="dxa" w:w="60"/>
              <w:left w:type="dxa" w:w="80"/>
              <w:bottom w:type="dxa" w:w="60"/>
              <w:right w:type="dxa" w:w="80"/>
            </w:tcMar>
          </w:tcPr>
          <w:p>
            <w:r>
              <w:rPr>
                <w:rFonts w:ascii="Arial" w:cs="Arial" w:eastAsia="Arial" w:hAnsi="Arial"/>
                <w:b w:val="false"/>
                <w:bCs w:val="false"/>
                <w:color w:val="262626"/>
                <w:sz w:val="18"/>
                <w:szCs w:val="18"/>
              </w:rPr>
              <w:t xml:space="preserve">12 de octubre de 2026</w:t>
            </w:r>
          </w:p>
        </w:tc>
      </w:tr>
    </w:tbl>
    <w:p>
      <w:r>
        <w:br w:type="page"/>
      </w:r>
    </w:p>
    <w:p>
      <w:pPr>
        <w:spacing w:after="200"/>
      </w:pPr>
      <w:r>
        <w:rPr>
          <w:rFonts w:ascii="Arial" w:cs="Arial" w:eastAsia="Arial" w:hAnsi="Arial"/>
          <w:b/>
          <w:bCs/>
          <w:color w:val="073763"/>
          <w:sz w:val="30"/>
          <w:szCs w:val="30"/>
        </w:rPr>
        <w:t xml:space="preserve">Índice</w:t>
      </w:r>
    </w:p>
    <w:p>
      <w:pPr>
        <w:tabs>
          <w:tab w:val="right" w:pos="9029" w:leader="dot"/>
        </w:tabs>
        <w:spacing w:after="60"/>
      </w:pPr>
      <w:hyperlink w:history="1" w:anchor="_Toc1">
        <w:r>
          <w:rPr>
            <w:rFonts w:ascii="Arial" w:cs="Arial" w:eastAsia="Arial" w:hAnsi="Arial"/>
            <w:color w:val="262626"/>
            <w:sz w:val="20"/>
            <w:szCs w:val="20"/>
          </w:rPr>
          <w:t xml:space="preserve">1. Propósito del registro</w:t>
        </w:r>
        <w:r>
          <w:rPr>
            <w:rFonts w:ascii="Arial" w:cs="Arial" w:eastAsia="Arial" w:hAnsi="Arial"/>
            <w:color w:val="262626"/>
            <w:sz w:val="20"/>
            <w:szCs w:val="20"/>
          </w:rPr>
          <w:t xml:space="preserve">	3</w:t>
        </w:r>
      </w:hyperlink>
    </w:p>
    <w:p>
      <w:pPr>
        <w:tabs>
          <w:tab w:val="right" w:pos="9029" w:leader="dot"/>
        </w:tabs>
        <w:spacing w:after="60"/>
      </w:pPr>
      <w:hyperlink w:history="1" w:anchor="_Toc2">
        <w:r>
          <w:rPr>
            <w:rFonts w:ascii="Arial" w:cs="Arial" w:eastAsia="Arial" w:hAnsi="Arial"/>
            <w:color w:val="262626"/>
            <w:sz w:val="20"/>
            <w:szCs w:val="20"/>
          </w:rPr>
          <w:t xml:space="preserve">2. Entrevistas de requerimientos y confidencialidad</w:t>
        </w:r>
        <w:r>
          <w:rPr>
            <w:rFonts w:ascii="Arial" w:cs="Arial" w:eastAsia="Arial" w:hAnsi="Arial"/>
            <w:color w:val="262626"/>
            <w:sz w:val="20"/>
            <w:szCs w:val="20"/>
          </w:rPr>
          <w:t xml:space="preserve">	3</w:t>
        </w:r>
      </w:hyperlink>
    </w:p>
    <w:p>
      <w:pPr>
        <w:tabs>
          <w:tab w:val="right" w:pos="9029" w:leader="dot"/>
        </w:tabs>
        <w:spacing w:after="60"/>
      </w:pPr>
      <w:hyperlink w:history="1" w:anchor="_Toc3">
        <w:r>
          <w:rPr>
            <w:rFonts w:ascii="Arial" w:cs="Arial" w:eastAsia="Arial" w:hAnsi="Arial"/>
            <w:color w:val="262626"/>
            <w:sz w:val="20"/>
            <w:szCs w:val="20"/>
          </w:rPr>
          <w:t xml:space="preserve">3. Registro de stakeholders</w:t>
        </w:r>
        <w:r>
          <w:rPr>
            <w:rFonts w:ascii="Arial" w:cs="Arial" w:eastAsia="Arial" w:hAnsi="Arial"/>
            <w:color w:val="262626"/>
            <w:sz w:val="20"/>
            <w:szCs w:val="20"/>
          </w:rPr>
          <w:t xml:space="preserve">	4</w:t>
        </w:r>
      </w:hyperlink>
    </w:p>
    <w:p>
      <w:pPr>
        <w:tabs>
          <w:tab w:val="right" w:pos="9029" w:leader="dot"/>
        </w:tabs>
        <w:spacing w:after="60"/>
      </w:pPr>
      <w:hyperlink w:history="1" w:anchor="_Toc4">
        <w:r>
          <w:rPr>
            <w:rFonts w:ascii="Arial" w:cs="Arial" w:eastAsia="Arial" w:hAnsi="Arial"/>
            <w:color w:val="262626"/>
            <w:sz w:val="20"/>
            <w:szCs w:val="20"/>
          </w:rPr>
          <w:t xml:space="preserve">4. Matriz de poder e interés</w:t>
        </w:r>
        <w:r>
          <w:rPr>
            <w:rFonts w:ascii="Arial" w:cs="Arial" w:eastAsia="Arial" w:hAnsi="Arial"/>
            <w:color w:val="262626"/>
            <w:sz w:val="20"/>
            <w:szCs w:val="20"/>
          </w:rPr>
          <w:t xml:space="preserve">	4</w:t>
        </w:r>
      </w:hyperlink>
    </w:p>
    <w:p>
      <w:pPr>
        <w:tabs>
          <w:tab w:val="right" w:pos="9029" w:leader="dot"/>
        </w:tabs>
        <w:spacing w:after="60"/>
      </w:pPr>
      <w:hyperlink w:history="1" w:anchor="_Toc5">
        <w:r>
          <w:rPr>
            <w:rFonts w:ascii="Arial" w:cs="Arial" w:eastAsia="Arial" w:hAnsi="Arial"/>
            <w:color w:val="262626"/>
            <w:sz w:val="20"/>
            <w:szCs w:val="20"/>
          </w:rPr>
          <w:t xml:space="preserve">5. Estrategia de involucramiento</w:t>
        </w:r>
        <w:r>
          <w:rPr>
            <w:rFonts w:ascii="Arial" w:cs="Arial" w:eastAsia="Arial" w:hAnsi="Arial"/>
            <w:color w:val="262626"/>
            <w:sz w:val="20"/>
            <w:szCs w:val="20"/>
          </w:rPr>
          <w:t xml:space="preserve">	5</w:t>
        </w:r>
      </w:hyperlink>
    </w:p>
    <w:p>
      <w:r>
        <w:br w:type="page"/>
      </w:r>
    </w:p>
    <w:p>
      <w:pPr>
        <w:keepNext/>
        <w:spacing w:after="80" w:before="280"/>
      </w:pPr>
      <w:bookmarkStart w:name="_Toc1" w:id="6"/>
      <w:r>
        <w:rPr>
          <w:rFonts w:ascii="Arial" w:cs="Arial" w:eastAsia="Arial" w:hAnsi="Arial"/>
          <w:b/>
          <w:bCs/>
          <w:color w:val="073763"/>
          <w:sz w:val="30"/>
          <w:szCs w:val="30"/>
        </w:rPr>
        <w:t xml:space="preserve">1. Propósito del registro</w:t>
      </w:r>
      <w:bookmarkEnd w:id="6"/>
    </w:p>
    <w:p>
      <w:pPr>
        <w:spacing w:after="120" w:line="300"/>
        <w:jc w:val="both"/>
      </w:pPr>
      <w:r>
        <w:rPr>
          <w:rFonts w:ascii="Arial" w:cs="Arial" w:eastAsia="Arial" w:hAnsi="Arial"/>
          <w:color w:val="262626"/>
          <w:sz w:val="21"/>
          <w:szCs w:val="21"/>
        </w:rPr>
        <w:t xml:space="preserve">El Registro de Stakeholders identifica a las personas y organizaciones que influyen en KontadorIA o que se ven afectadas por él, y define cómo el equipo las mantiene involucradas. Para cada una se indica su rol, su interés en el proyecto, su influencia sobre las decisiones, lo que espera del producto y la estrategia de involucramiento.</w:t>
      </w:r>
    </w:p>
    <w:p>
      <w:pPr>
        <w:spacing w:after="120" w:line="300"/>
        <w:jc w:val="both"/>
      </w:pPr>
      <w:r>
        <w:rPr>
          <w:rFonts w:ascii="Arial" w:cs="Arial" w:eastAsia="Arial" w:hAnsi="Arial"/>
          <w:color w:val="262626"/>
          <w:sz w:val="21"/>
          <w:szCs w:val="21"/>
        </w:rPr>
        <w:t xml:space="preserve">El interés indica cuánto le afecta el resultado del proyecto; la influencia, cuánto puede cambiar sus decisiones (alcance, prioridades, calendario o adopción).</w:t>
      </w:r>
    </w:p>
    <w:p>
      <w:pPr>
        <w:keepNext/>
        <w:spacing w:after="80" w:before="280"/>
      </w:pPr>
      <w:bookmarkStart w:name="_Toc2" w:id="7"/>
      <w:r>
        <w:rPr>
          <w:rFonts w:ascii="Arial" w:cs="Arial" w:eastAsia="Arial" w:hAnsi="Arial"/>
          <w:b/>
          <w:bCs/>
          <w:color w:val="073763"/>
          <w:sz w:val="30"/>
          <w:szCs w:val="30"/>
        </w:rPr>
        <w:t xml:space="preserve">2. Entrevistas de requerimientos y confidencialidad</w:t>
      </w:r>
      <w:bookmarkEnd w:id="7"/>
    </w:p>
    <w:p>
      <w:pPr>
        <w:spacing w:after="120" w:line="300"/>
        <w:jc w:val="both"/>
      </w:pPr>
      <w:r>
        <w:rPr>
          <w:rFonts w:ascii="Arial" w:cs="Arial" w:eastAsia="Arial" w:hAnsi="Arial"/>
          <w:color w:val="262626"/>
          <w:sz w:val="21"/>
          <w:szCs w:val="21"/>
        </w:rPr>
        <w:t xml:space="preserve">Para validar el problema y levantar requerimientos, el equipo entrevistó a dos emprendedores de rubros distintos, ambos dentro del segmento objetivo: negocios pequeños que no cuentan con un sistema formal para llevar sus finanzas.</w:t>
      </w:r>
    </w:p>
    <w:p>
      <w:pPr>
        <w:spacing w:after="120" w:line="300"/>
        <w:jc w:val="both"/>
      </w:pPr>
      <w:r>
        <w:rPr>
          <w:rFonts w:ascii="Arial" w:cs="Arial" w:eastAsia="Arial" w:hAnsi="Arial"/>
          <w:b/>
          <w:bCs/>
          <w:color w:val="262626"/>
          <w:sz w:val="21"/>
          <w:szCs w:val="21"/>
        </w:rPr>
        <w:t xml:space="preserve">Condición de confidencialidad.</w:t>
      </w:r>
      <w:r>
        <w:rPr>
          <w:rFonts w:ascii="Arial" w:cs="Arial" w:eastAsia="Arial" w:hAnsi="Arial"/>
          <w:color w:val="262626"/>
          <w:sz w:val="21"/>
          <w:szCs w:val="21"/>
        </w:rPr>
        <w:t xml:space="preserve"> Ambos entrevistados aceptaron participar con la condición de mantener su anonimato. Por eso, este documento solo informa el nombre de su emprendimiento; no se registran sus nombres, edades ni datos de contacto, y se identifican como Entrevistado 1 y Entrevistado 2. Esta condición se respeta en todos los entregables del proyecto.</w:t>
      </w:r>
    </w:p>
    <w:p>
      <w:pPr>
        <w:keepNext/>
        <w:spacing w:after="60" w:before="200"/>
      </w:pPr>
      <w:r>
        <w:rPr>
          <w:rFonts w:ascii="Arial" w:cs="Arial" w:eastAsia="Arial" w:hAnsi="Arial"/>
          <w:b/>
          <w:bCs/>
          <w:color w:val="073763"/>
          <w:sz w:val="23"/>
          <w:szCs w:val="23"/>
        </w:rPr>
        <w:t xml:space="preserve">Negocios entrevistados</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400"/>
        <w:gridCol w:w="3314"/>
        <w:gridCol w:w="3315"/>
      </w:tblGrid>
      <w:tr>
        <w:trPr>
          <w:cantSplit/>
          <w:tblHeader/>
        </w:trPr>
        <w:tc>
          <w:tcPr>
            <w:tcW w:type="dxa" w:w="24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Campo</w:t>
            </w:r>
          </w:p>
        </w:tc>
        <w:tc>
          <w:tcPr>
            <w:tcW w:type="dxa" w:w="3314"/>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Negocio 1</w:t>
            </w:r>
          </w:p>
        </w:tc>
        <w:tc>
          <w:tcPr>
            <w:tcW w:type="dxa" w:w="3315"/>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Negocio 2</w:t>
            </w:r>
          </w:p>
        </w:tc>
      </w:tr>
      <w:tr>
        <w:trPr>
          <w:cantSplit/>
        </w:trPr>
        <w:tc>
          <w:tcPr>
            <w:tcW w:type="dxa" w:w="24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Nombre del negocio</w:t>
            </w:r>
          </w:p>
        </w:tc>
        <w:tc>
          <w:tcPr>
            <w:tcW w:type="dxa" w:w="3314"/>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Pollito Picarón</w:t>
            </w:r>
          </w:p>
        </w:tc>
        <w:tc>
          <w:tcPr>
            <w:tcW w:type="dxa" w:w="3315"/>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Manti</w:t>
            </w:r>
          </w:p>
        </w:tc>
      </w:tr>
      <w:tr>
        <w:trPr>
          <w:cantSplit/>
        </w:trPr>
        <w:tc>
          <w:tcPr>
            <w:tcW w:type="dxa" w:w="24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Actividad económica</w:t>
            </w:r>
          </w:p>
        </w:tc>
        <w:tc>
          <w:tcPr>
            <w:tcW w:type="dxa" w:w="3314"/>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Venta de comida</w:t>
            </w:r>
          </w:p>
        </w:tc>
        <w:tc>
          <w:tcPr>
            <w:tcW w:type="dxa" w:w="3315"/>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Servicios de mantención y construcción</w:t>
            </w:r>
          </w:p>
        </w:tc>
      </w:tr>
      <w:tr>
        <w:trPr>
          <w:cantSplit/>
        </w:trPr>
        <w:tc>
          <w:tcPr>
            <w:tcW w:type="dxa" w:w="24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Personas que trabajan</w:t>
            </w:r>
          </w:p>
        </w:tc>
        <w:tc>
          <w:tcPr>
            <w:tcW w:type="dxa" w:w="3314"/>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2 (el dueño y su esposa)</w:t>
            </w:r>
          </w:p>
        </w:tc>
        <w:tc>
          <w:tcPr>
            <w:tcW w:type="dxa" w:w="3315"/>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1 (emprendimiento unipersonal)</w:t>
            </w:r>
          </w:p>
        </w:tc>
      </w:tr>
      <w:tr>
        <w:trPr>
          <w:cantSplit/>
        </w:trPr>
        <w:tc>
          <w:tcPr>
            <w:tcW w:type="dxa" w:w="24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Persona entrevistada</w:t>
            </w:r>
          </w:p>
        </w:tc>
        <w:tc>
          <w:tcPr>
            <w:tcW w:type="dxa" w:w="3314"/>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Entrevistado 1 · dueño</w:t>
            </w:r>
          </w:p>
        </w:tc>
        <w:tc>
          <w:tcPr>
            <w:tcW w:type="dxa" w:w="3315"/>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Entrevistado 2 · dueño</w:t>
            </w:r>
          </w:p>
        </w:tc>
      </w:tr>
      <w:tr>
        <w:trPr>
          <w:cantSplit/>
        </w:trPr>
        <w:tc>
          <w:tcPr>
            <w:tcW w:type="dxa" w:w="24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Cómo registra hoy sus gastos e ingresos</w:t>
            </w:r>
          </w:p>
        </w:tc>
        <w:tc>
          <w:tcPr>
            <w:tcW w:type="dxa" w:w="3314"/>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Plantilla Excel de ventas diarias, boletas y facturas físicas</w:t>
            </w:r>
          </w:p>
        </w:tc>
        <w:tc>
          <w:tcPr>
            <w:tcW w:type="dxa" w:w="3315"/>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Plantilla Excel por trabajo o cliente, boletas y facturas físicas con respaldo en Excel</w:t>
            </w:r>
          </w:p>
        </w:tc>
      </w:tr>
      <w:tr>
        <w:trPr>
          <w:cantSplit/>
        </w:trPr>
        <w:tc>
          <w:tcPr>
            <w:tcW w:type="dxa" w:w="24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Principal dificultad mencionada</w:t>
            </w:r>
          </w:p>
        </w:tc>
        <w:tc>
          <w:tcPr>
            <w:tcW w:type="dxa" w:w="3314"/>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Poca visibilidad de sus ingresos y gastos totales del negocio.</w:t>
            </w:r>
          </w:p>
        </w:tc>
        <w:tc>
          <w:tcPr>
            <w:tcW w:type="dxa" w:w="3315"/>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Manejo de demasiadas boletas físicas y demasiado trabajo manual al trasladar sus gastos e ingresos a sus planillas Excel.</w:t>
            </w:r>
          </w:p>
        </w:tc>
      </w:tr>
    </w:tbl>
    <w:p>
      <w:pPr>
        <w:spacing w:after="120"/>
      </w:pPr>
    </w:p>
    <w:p>
      <w:pPr>
        <w:keepNext/>
        <w:spacing w:after="60" w:before="200"/>
      </w:pPr>
      <w:r>
        <w:rPr>
          <w:rFonts w:ascii="Arial" w:cs="Arial" w:eastAsia="Arial" w:hAnsi="Arial"/>
          <w:b/>
          <w:bCs/>
          <w:color w:val="073763"/>
          <w:sz w:val="23"/>
          <w:szCs w:val="23"/>
        </w:rPr>
        <w:t xml:space="preserve">Qué aporta cada caso al producto</w:t>
      </w:r>
    </w:p>
    <w:p>
      <w:pPr>
        <w:spacing w:after="120" w:line="300"/>
        <w:jc w:val="both"/>
      </w:pPr>
      <w:r>
        <w:rPr>
          <w:rFonts w:ascii="Arial" w:cs="Arial" w:eastAsia="Arial" w:hAnsi="Arial"/>
          <w:color w:val="262626"/>
          <w:sz w:val="21"/>
          <w:szCs w:val="21"/>
        </w:rPr>
        <w:t xml:space="preserve">Los dos negocios representan dos formas de uso que la plataforma debe cubrir:</w:t>
      </w:r>
    </w:p>
    <w:p>
      <w:pPr>
        <w:pStyle w:val="ListParagraph"/>
        <w:numPr>
          <w:ilvl w:val="0"/>
          <w:numId w:val="2"/>
        </w:numPr>
        <w:spacing w:after="60" w:line="280"/>
        <w:jc w:val="both"/>
      </w:pPr>
      <w:r>
        <w:rPr>
          <w:rFonts w:ascii="Arial" w:cs="Arial" w:eastAsia="Arial" w:hAnsi="Arial"/>
          <w:b/>
          <w:bCs/>
          <w:color w:val="262626"/>
          <w:sz w:val="21"/>
          <w:szCs w:val="21"/>
        </w:rPr>
        <w:t xml:space="preserve">Negocio 1 · Pollito Picarón (dos personas):</w:t>
      </w:r>
      <w:r>
        <w:rPr>
          <w:rFonts w:ascii="Arial" w:cs="Arial" w:eastAsia="Arial" w:hAnsi="Arial"/>
          <w:color w:val="262626"/>
          <w:sz w:val="21"/>
          <w:szCs w:val="21"/>
        </w:rPr>
        <w:t xml:space="preserve"> valida el caso de varios usuarios en una misma empresa: el dueño administra la cuenta y su esposa puede registrar movimientos con su propio usuario (roles y permisos, HU02 y HU03). Como ya lleva sus ventas diarias en una plantilla Excel, la importación CSV/XLSX le permite traerlas sin volver a tipearlas, y el dashboard responde a su principal dificultad: no ver el total de sus ingresos y gastos.</w:t>
      </w:r>
    </w:p>
    <w:p>
      <w:pPr>
        <w:pStyle w:val="ListParagraph"/>
        <w:numPr>
          <w:ilvl w:val="0"/>
          <w:numId w:val="2"/>
        </w:numPr>
        <w:spacing w:after="60" w:line="280"/>
        <w:jc w:val="both"/>
      </w:pPr>
      <w:r>
        <w:rPr>
          <w:rFonts w:ascii="Arial" w:cs="Arial" w:eastAsia="Arial" w:hAnsi="Arial"/>
          <w:b/>
          <w:bCs/>
          <w:color w:val="262626"/>
          <w:sz w:val="21"/>
          <w:szCs w:val="21"/>
        </w:rPr>
        <w:t xml:space="preserve">Negocio 2 · Manti (unipersonal):</w:t>
      </w:r>
      <w:r>
        <w:rPr>
          <w:rFonts w:ascii="Arial" w:cs="Arial" w:eastAsia="Arial" w:hAnsi="Arial"/>
          <w:color w:val="262626"/>
          <w:sz w:val="21"/>
          <w:szCs w:val="21"/>
        </w:rPr>
        <w:t xml:space="preserve"> valida el caso de un solo usuario que hace todo. Su principal dificultad es el volumen de boletas físicas y el trabajo de pasarlas a Excel, que es justo lo que resuelve la carga por foto con IA (HU08, HU09). Su expectativa de saber si tuvo beneficios al terminar el mes la cubre el resumen mensual del dashboard.</w:t>
      </w:r>
    </w:p>
    <w:p>
      <w:pPr>
        <w:keepNext/>
        <w:spacing w:after="80" w:before="280"/>
      </w:pPr>
      <w:bookmarkStart w:name="_Toc3" w:id="8"/>
      <w:r>
        <w:rPr>
          <w:rFonts w:ascii="Arial" w:cs="Arial" w:eastAsia="Arial" w:hAnsi="Arial"/>
          <w:b/>
          <w:bCs/>
          <w:color w:val="073763"/>
          <w:sz w:val="30"/>
          <w:szCs w:val="30"/>
        </w:rPr>
        <w:t xml:space="preserve">3. Registro de stakeholders</w:t>
      </w:r>
      <w:bookmarkEnd w:id="8"/>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850"/>
        <w:gridCol w:w="1150"/>
        <w:gridCol w:w="3329"/>
      </w:tblGrid>
      <w:tr>
        <w:trPr>
          <w:cantSplit/>
          <w:tblHeader/>
        </w:trPr>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Stakeholder</w:t>
            </w:r>
          </w:p>
        </w:tc>
        <w:tc>
          <w:tcPr>
            <w:tcW w:type="dxa" w:w="1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Rol</w:t>
            </w:r>
          </w:p>
        </w:tc>
        <w:tc>
          <w:tcPr>
            <w:tcW w:type="dxa" w:w="85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Interés</w:t>
            </w:r>
          </w:p>
        </w:tc>
        <w:tc>
          <w:tcPr>
            <w:tcW w:type="dxa" w:w="115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center"/>
            </w:pPr>
            <w:r>
              <w:rPr>
                <w:rFonts w:ascii="Arial" w:cs="Arial" w:eastAsia="Arial" w:hAnsi="Arial"/>
                <w:b/>
                <w:bCs/>
                <w:color w:val="FFFFFF"/>
                <w:sz w:val="19"/>
                <w:szCs w:val="19"/>
              </w:rPr>
              <w:t xml:space="preserve">Influencia</w:t>
            </w:r>
          </w:p>
        </w:tc>
        <w:tc>
          <w:tcPr>
            <w:tcW w:type="dxa" w:w="33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Expectativas</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Vicente Hermosilla</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Product Owner (equipo)</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Un producto que resuelva el problema real de las PYMEs y un backlog priorizado que se cumpla dentro del Capstone.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Diego Gallardo</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Scrum Master (equipo)</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Media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Un proceso Scrum ordenado, sin impedimentos bloqueantes, y entregables a tiempo.</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Felipe Quezada</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Desarrollador (equipo)</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Una arquitectura segura y mantenible, con alcance acotado y realista para un desarrollador.</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Cindy Contador</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Docente guía</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Medio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Entregables completos y coherentes en cada fase, y un proyecto que demuestre las competencias del perfil de egreso.</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Duoc UC</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Institución</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Bajo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Que el proyecto se ajuste al marco del Capstone y a las políticas de TI de la cuenta Azure de estudiantes.</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Entrevistado 1 · Pollito Picarón</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Dueño de negocio de comida · usuario potencial</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Medio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Media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Una aplicación que facilite su manejo de facturas y boletas, y que se puedan importar las ventas diarias.</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Entrevistado 2 · Manti</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Dueño de negocio de mantención · usuario potencial</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Media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Manejar menos boletas y facturas físicas, y poder verificar si ha generado beneficios al terminar el mes.</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Dueño de PYME</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Usuario administrador (segmento)</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Saber en qué se gasta su dinero durante el mes, sin aprender contabilidad ni dejar el Excel de golpe.</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Contador externo</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Usuario contador (segmento)</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Alto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Media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Recibir la información completa, ordenada y exportable, sin perseguir boletas a fin de mes.</w:t>
            </w:r>
          </w:p>
        </w:tc>
      </w:tr>
      <w:tr>
        <w:trPr>
          <w:cantSplit/>
        </w:trPr>
        <w:tc>
          <w:tcPr>
            <w:tcW w:type="dxa" w:w="19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Empleado</w:t>
            </w:r>
          </w:p>
        </w:tc>
        <w:tc>
          <w:tcPr>
            <w:tcW w:type="dxa" w:w="1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Usuario empleado (segmento)</w:t>
            </w:r>
          </w:p>
        </w:tc>
        <w:tc>
          <w:tcPr>
            <w:tcW w:type="dxa" w:w="8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Medio</w:t>
            </w:r>
          </w:p>
        </w:tc>
        <w:tc>
          <w:tcPr>
            <w:tcW w:type="dxa" w:w="115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center"/>
            </w:pPr>
            <w:r>
              <w:rPr>
                <w:rFonts w:ascii="Arial" w:cs="Arial" w:eastAsia="Arial" w:hAnsi="Arial"/>
                <w:color w:val="262626"/>
                <w:sz w:val="19"/>
                <w:szCs w:val="19"/>
              </w:rPr>
              <w:t xml:space="preserve">Baja</w:t>
            </w:r>
          </w:p>
        </w:tc>
        <w:tc>
          <w:tcPr>
            <w:tcW w:type="dxa" w:w="33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Registrar un gasto en segundos desde el celular, sin llenar planillas.</w:t>
            </w:r>
          </w:p>
        </w:tc>
      </w:tr>
    </w:tbl>
    <w:p>
      <w:pPr>
        <w:spacing w:after="120"/>
      </w:pPr>
    </w:p>
    <w:p>
      <w:pPr>
        <w:spacing w:after="120" w:before="60"/>
      </w:pPr>
      <w:r>
        <w:rPr>
          <w:rFonts w:ascii="Arial" w:cs="Arial" w:eastAsia="Arial" w:hAnsi="Arial"/>
          <w:i/>
          <w:iCs/>
          <w:color w:val="7F7F7F"/>
          <w:sz w:val="17"/>
          <w:szCs w:val="17"/>
        </w:rPr>
        <w:t xml:space="preserve">Interés e influencia corresponden a la evaluación del equipo. Las expectativas de los entrevistados se completan con lo que expresaron en sus entrevistas.</w:t>
      </w:r>
    </w:p>
    <w:p>
      <w:pPr>
        <w:keepNext/>
        <w:spacing w:after="80" w:before="280"/>
      </w:pPr>
      <w:bookmarkStart w:name="_Toc4" w:id="9"/>
      <w:r>
        <w:rPr>
          <w:rFonts w:ascii="Arial" w:cs="Arial" w:eastAsia="Arial" w:hAnsi="Arial"/>
          <w:b/>
          <w:bCs/>
          <w:color w:val="073763"/>
          <w:sz w:val="30"/>
          <w:szCs w:val="30"/>
        </w:rPr>
        <w:t xml:space="preserve">4. Matriz de poder e interés</w:t>
      </w:r>
      <w:bookmarkEnd w:id="9"/>
    </w:p>
    <w:p>
      <w:pPr>
        <w:spacing w:after="120" w:line="300"/>
        <w:jc w:val="both"/>
      </w:pPr>
      <w:r>
        <w:rPr>
          <w:rFonts w:ascii="Arial" w:cs="Arial" w:eastAsia="Arial" w:hAnsi="Arial"/>
          <w:color w:val="262626"/>
          <w:sz w:val="21"/>
          <w:szCs w:val="21"/>
        </w:rPr>
        <w:t xml:space="preserve">La matriz agrupa a los stakeholders según su influencia (poder) y su interés, y define el nivel de atención que cada grupo requiere.</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529"/>
      </w:tblGrid>
      <w:tr>
        <w:trPr>
          <w:cantSplit/>
          <w:tblHeader/>
        </w:trPr>
        <w:tc>
          <w:tcPr>
            <w:tcW w:type="dxa" w:w="27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Cuadrante</w:t>
            </w:r>
          </w:p>
        </w:tc>
        <w:tc>
          <w:tcPr>
            <w:tcW w:type="dxa" w:w="28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Stakeholders</w:t>
            </w:r>
          </w:p>
        </w:tc>
        <w:tc>
          <w:tcPr>
            <w:tcW w:type="dxa" w:w="35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Cómo se gestiona</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Gestionar de cerca (alto poder, alto interés)</w:t>
            </w:r>
          </w:p>
        </w:tc>
        <w:tc>
          <w:tcPr>
            <w:tcW w:type="dxa" w:w="2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Product Owner, Desarrollador, dueño de PYME</w:t>
            </w:r>
          </w:p>
        </w:tc>
        <w:tc>
          <w:tcPr>
            <w:tcW w:type="dxa" w:w="35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Participan en las decisiones de producto y validan cada incremento.</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Mantener satisfechos (alto poder, menor interés)</w:t>
            </w:r>
          </w:p>
        </w:tc>
        <w:tc>
          <w:tcPr>
            <w:tcW w:type="dxa" w:w="2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Docente guía, Duoc UC</w:t>
            </w:r>
          </w:p>
        </w:tc>
        <w:tc>
          <w:tcPr>
            <w:tcW w:type="dxa" w:w="35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Se les entrega cada fase completa y se consulta ante cambios de alcance o restricciones.</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Mantener informados (menor poder, alto interés)</w:t>
            </w:r>
          </w:p>
        </w:tc>
        <w:tc>
          <w:tcPr>
            <w:tcW w:type="dxa" w:w="2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Scrum Master, contador externo, entrevistados</w:t>
            </w:r>
          </w:p>
        </w:tc>
        <w:tc>
          <w:tcPr>
            <w:tcW w:type="dxa" w:w="35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Se les comunica el avance y se les pide retroalimentación en momentos clave.</w:t>
            </w:r>
          </w:p>
        </w:tc>
      </w:tr>
      <w:tr>
        <w:trPr>
          <w:cantSplit/>
        </w:trPr>
        <w:tc>
          <w:tcPr>
            <w:tcW w:type="dxa" w:w="27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Monitorear (menor poder, menor interés)</w:t>
            </w:r>
          </w:p>
        </w:tc>
        <w:tc>
          <w:tcPr>
            <w:tcW w:type="dxa" w:w="28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Empleado</w:t>
            </w:r>
          </w:p>
        </w:tc>
        <w:tc>
          <w:tcPr>
            <w:tcW w:type="dxa" w:w="35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Se consideran sus necesidades en el diseño y se validan con pruebas de usabilidad.</w:t>
            </w:r>
          </w:p>
        </w:tc>
      </w:tr>
    </w:tbl>
    <w:p>
      <w:pPr>
        <w:spacing w:after="120"/>
      </w:pPr>
    </w:p>
    <w:p>
      <w:pPr>
        <w:keepNext/>
        <w:spacing w:after="80" w:before="280"/>
      </w:pPr>
      <w:bookmarkStart w:name="_Toc5" w:id="10"/>
      <w:r>
        <w:rPr>
          <w:rFonts w:ascii="Arial" w:cs="Arial" w:eastAsia="Arial" w:hAnsi="Arial"/>
          <w:b/>
          <w:bCs/>
          <w:color w:val="073763"/>
          <w:sz w:val="30"/>
          <w:szCs w:val="30"/>
        </w:rPr>
        <w:t xml:space="preserve">5. Estrategia de involucramiento</w:t>
      </w:r>
      <w:bookmarkEnd w:id="10"/>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2000"/>
        <w:gridCol w:w="5129"/>
        <w:gridCol w:w="1900"/>
      </w:tblGrid>
      <w:tr>
        <w:trPr>
          <w:cantSplit/>
          <w:tblHeader/>
        </w:trPr>
        <w:tc>
          <w:tcPr>
            <w:tcW w:type="dxa" w:w="20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Stakeholder</w:t>
            </w:r>
          </w:p>
        </w:tc>
        <w:tc>
          <w:tcPr>
            <w:tcW w:type="dxa" w:w="5129"/>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Estrategia</w:t>
            </w:r>
          </w:p>
        </w:tc>
        <w:tc>
          <w:tcPr>
            <w:tcW w:type="dxa" w:w="1900"/>
            <w:tcBorders>
              <w:top w:val="single" w:color="D9E1EC" w:sz="4"/>
              <w:left w:val="single" w:color="D9E1EC" w:sz="4"/>
              <w:bottom w:val="single" w:color="D9E1EC" w:sz="4"/>
              <w:right w:val="single" w:color="D9E1EC" w:sz="4"/>
            </w:tcBorders>
            <w:shd w:fill="073763" w:color="auto" w:val="clear"/>
            <w:tcMar>
              <w:top w:type="dxa" w:w="70"/>
              <w:left w:type="dxa" w:w="100"/>
              <w:bottom w:type="dxa" w:w="70"/>
              <w:right w:type="dxa" w:w="100"/>
            </w:tcMar>
          </w:tcPr>
          <w:p>
            <w:pPr>
              <w:spacing w:after="0" w:line="260"/>
              <w:jc w:val="left"/>
            </w:pPr>
            <w:r>
              <w:rPr>
                <w:rFonts w:ascii="Arial" w:cs="Arial" w:eastAsia="Arial" w:hAnsi="Arial"/>
                <w:b/>
                <w:bCs/>
                <w:color w:val="FFFFFF"/>
                <w:sz w:val="19"/>
                <w:szCs w:val="19"/>
              </w:rPr>
              <w:t xml:space="preserve">Cuándo</w:t>
            </w:r>
          </w:p>
        </w:tc>
      </w:tr>
      <w:tr>
        <w:trPr>
          <w:cantSplit/>
        </w:trPr>
        <w:tc>
          <w:tcPr>
            <w:tcW w:type="dxa" w:w="2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Equipo Scrum</w:t>
            </w:r>
          </w:p>
        </w:tc>
        <w:tc>
          <w:tcPr>
            <w:tcW w:type="dxa" w:w="5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Eventos Scrum: planificación, Daily Scrum, Sprint Review y retrospectiva. El seguimiento queda en Jira y en el Daily Scrum.</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Cada sprint</w:t>
            </w:r>
          </w:p>
        </w:tc>
      </w:tr>
      <w:tr>
        <w:trPr>
          <w:cantSplit/>
        </w:trPr>
        <w:tc>
          <w:tcPr>
            <w:tcW w:type="dxa" w:w="2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Docente guía</w:t>
            </w:r>
          </w:p>
        </w:tc>
        <w:tc>
          <w:tcPr>
            <w:tcW w:type="dxa" w:w="5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Entrega de los documentos de cada fase y revisión de avance; sus observaciones se registran y se incorporan al backlog.</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Cada fase y revisiones de avance</w:t>
            </w:r>
          </w:p>
        </w:tc>
      </w:tr>
      <w:tr>
        <w:trPr>
          <w:cantSplit/>
        </w:trPr>
        <w:tc>
          <w:tcPr>
            <w:tcW w:type="dxa" w:w="2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Entrevistados</w:t>
            </w:r>
          </w:p>
        </w:tc>
        <w:tc>
          <w:tcPr>
            <w:tcW w:type="dxa" w:w="5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Entrevistas presenciales para escuchar su experiencia; luego, invitación a probar el MVP y a dar retroalimentación. Siempre se resguarda su anonimato: solo se usa el nombre de su negocio.</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Entrevista inicial; prueba del MVP al cierre del Sprint 3 (13-nov)</w:t>
            </w:r>
          </w:p>
        </w:tc>
      </w:tr>
      <w:tr>
        <w:trPr>
          <w:cantSplit/>
        </w:trPr>
        <w:tc>
          <w:tcPr>
            <w:tcW w:type="dxa" w:w="2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PYMEs del programa piloto</w:t>
            </w:r>
          </w:p>
        </w:tc>
        <w:tc>
          <w:tcPr>
            <w:tcW w:type="dxa" w:w="5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Captación con el formulario de la landing (kontadoria.cl); acceso anticipado a la versión 1.0 y canal de retroalimentación.</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Desde la versión 1.0</w:t>
            </w:r>
          </w:p>
        </w:tc>
      </w:tr>
      <w:tr>
        <w:trPr>
          <w:cantSplit/>
        </w:trPr>
        <w:tc>
          <w:tcPr>
            <w:tcW w:type="dxa" w:w="2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Contador externo y empleado</w:t>
            </w:r>
          </w:p>
        </w:tc>
        <w:tc>
          <w:tcPr>
            <w:tcW w:type="dxa" w:w="5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Se validan sus flujos (exportación; registro por foto) con los usuarios del piloto y con pruebas de usabilidad.</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Sprints 3 a 5</w:t>
            </w:r>
          </w:p>
        </w:tc>
      </w:tr>
      <w:tr>
        <w:trPr>
          <w:cantSplit/>
        </w:trPr>
        <w:tc>
          <w:tcPr>
            <w:tcW w:type="dxa" w:w="2000"/>
            <w:tcBorders>
              <w:top w:val="single" w:color="D9E1EC" w:sz="4"/>
              <w:left w:val="single" w:color="D9E1EC" w:sz="4"/>
              <w:bottom w:val="single" w:color="D9E1EC" w:sz="4"/>
              <w:right w:val="single" w:color="D9E1EC" w:sz="4"/>
            </w:tcBorders>
            <w:shd w:fill="F5F8FC" w:color="auto" w:val="clear"/>
            <w:tcMar>
              <w:top w:type="dxa" w:w="70"/>
              <w:left w:type="dxa" w:w="100"/>
              <w:bottom w:type="dxa" w:w="70"/>
              <w:right w:type="dxa" w:w="100"/>
            </w:tcMar>
          </w:tcPr>
          <w:p>
            <w:pPr>
              <w:spacing w:after="0" w:line="260"/>
              <w:jc w:val="left"/>
            </w:pPr>
            <w:r>
              <w:rPr>
                <w:rFonts w:ascii="Arial" w:cs="Arial" w:eastAsia="Arial" w:hAnsi="Arial"/>
                <w:b/>
                <w:bCs/>
                <w:color w:val="073763"/>
                <w:sz w:val="19"/>
                <w:szCs w:val="19"/>
              </w:rPr>
              <w:t xml:space="preserve">Duoc UC</w:t>
            </w:r>
          </w:p>
        </w:tc>
        <w:tc>
          <w:tcPr>
            <w:tcW w:type="dxa" w:w="5129"/>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Cumplimiento de las políticas de la cuenta Azure for Students; las restricciones se documentan en la arquitectura.</w:t>
            </w:r>
          </w:p>
        </w:tc>
        <w:tc>
          <w:tcPr>
            <w:tcW w:type="dxa" w:w="1900"/>
            <w:tcBorders>
              <w:top w:val="single" w:color="D9E1EC" w:sz="4"/>
              <w:left w:val="single" w:color="D9E1EC" w:sz="4"/>
              <w:bottom w:val="single" w:color="D9E1EC" w:sz="4"/>
              <w:right w:val="single" w:color="D9E1EC" w:sz="4"/>
            </w:tcBorders>
            <w:tcMar>
              <w:top w:type="dxa" w:w="70"/>
              <w:left w:type="dxa" w:w="100"/>
              <w:bottom w:type="dxa" w:w="70"/>
              <w:right w:type="dxa" w:w="100"/>
            </w:tcMar>
          </w:tcPr>
          <w:p>
            <w:pPr>
              <w:spacing w:after="0" w:line="260"/>
              <w:jc w:val="left"/>
            </w:pPr>
            <w:r>
              <w:rPr>
                <w:rFonts w:ascii="Arial" w:cs="Arial" w:eastAsia="Arial" w:hAnsi="Arial"/>
                <w:color w:val="262626"/>
                <w:sz w:val="19"/>
                <w:szCs w:val="19"/>
              </w:rPr>
              <w:t xml:space="preserve">Durante todo el proyecto</w:t>
            </w:r>
          </w:p>
        </w:tc>
      </w:tr>
    </w:tbl>
    <w:p>
      <w:pPr>
        <w:spacing w:after="120"/>
      </w:pPr>
    </w:p>
    <w:p>
      <w:pPr>
        <w:spacing w:after="120" w:line="300"/>
        <w:jc w:val="both"/>
      </w:pPr>
      <w:r>
        <w:rPr>
          <w:rFonts w:ascii="Arial" w:cs="Arial" w:eastAsia="Arial" w:hAnsi="Arial"/>
          <w:color w:val="262626"/>
          <w:sz w:val="21"/>
          <w:szCs w:val="21"/>
        </w:rPr>
        <w:t xml:space="preserve">El objetivo de esta estrategia es que los usuarios se sientan parte de la construcción del producto: sus opiniones alimentan el Product Backlog y cada versión se valida con ellos antes de considerarla terminada.</w:t>
      </w:r>
    </w:p>
    <w:p>
      <w:pPr>
        <w:spacing w:after="120" w:before="60"/>
      </w:pPr>
      <w:r>
        <w:rPr>
          <w:rFonts w:ascii="Arial" w:cs="Arial" w:eastAsia="Arial" w:hAnsi="Arial"/>
          <w:i/>
          <w:iCs/>
          <w:color w:val="7F7F7F"/>
          <w:sz w:val="17"/>
          <w:szCs w:val="17"/>
        </w:rPr>
        <w:t xml:space="preserve">Fuentes: entrevistas de requerimientos del equipo, Mapa de Actores v2, Ficha del Proyecto v2 y Product Roadmap.</w:t>
      </w:r>
    </w:p>
    <w:sectPr>
      <w:headerReference w:type="default" r:id="rId6"/>
      <w:headerReference w:type="first" r:id="rId7"/>
      <w:footerReference w:type="default" r:id="rId8"/>
      <w:footerReference w:type="first" r:id="rId9"/>
      <w:pgSz w:w="11909" w:h="16834" w:orient="portrait"/>
      <w:pgMar w:top="1440" w:right="1440" w:bottom="1440" w:left="1440" w:header="6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5"/>
        <w:szCs w:val="15"/>
      </w:rPr>
      <w:t xml:space="preserve">Registro de Stakeholders · KontadorIA · Página </w:t>
    </w:r>
    <w:r>
      <w:rPr>
        <w:rFonts w:ascii="Arial" w:cs="Arial" w:eastAsia="Arial" w:hAnsi="Arial"/>
        <w:color w:val="07376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3763" w:sz="6" w:space="4"/>
      </w:pBdr>
      <w:tabs>
        <w:tab w:val="right" w:pos="9029"/>
      </w:tabs>
    </w:pPr>
    <w:r>
      <w:drawing>
        <wp:inline distT="0" distB="0" distL="0" distR="0">
          <wp:extent cx="914400" cy="2286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r>
      <w:rPr>
        <w:rFonts w:ascii="Arial" w:cs="Arial" w:eastAsia="Arial" w:hAnsi="Arial"/>
        <w:color w:val="7F7F7F"/>
        <w:sz w:val="15"/>
        <w:szCs w:val="15"/>
      </w:rPr>
      <w:t xml:space="preserve">	Instituto Profesional DuocUC</w:t>
    </w:r>
  </w:p>
  <w:p>
    <w:pPr>
      <w:jc w:val="right"/>
    </w:pPr>
    <w:r>
      <w:rPr>
        <w:rFonts w:ascii="Arial" w:cs="Arial" w:eastAsia="Arial" w:hAnsi="Arial"/>
        <w:color w:val="7F7F7F"/>
        <w:sz w:val="15"/>
        <w:szCs w:val="15"/>
      </w:rPr>
      <w:t xml:space="preserve">Escuela de Informática y Telecomunicaciones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73763" w:sz="6" w:space="4"/>
      </w:pBdr>
      <w:tabs>
        <w:tab w:val="right" w:pos="9029"/>
      </w:tabs>
    </w:pPr>
    <w:r>
      <w:drawing>
        <wp:inline distT="0" distB="0" distL="0" distR="0">
          <wp:extent cx="914400" cy="2286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r>
      <w:rPr>
        <w:rFonts w:ascii="Arial" w:cs="Arial" w:eastAsia="Arial" w:hAnsi="Arial"/>
        <w:color w:val="7F7F7F"/>
        <w:sz w:val="15"/>
        <w:szCs w:val="15"/>
      </w:rPr>
      <w:t xml:space="preserve">	Instituto Profesional DuocUC</w:t>
    </w:r>
  </w:p>
  <w:p>
    <w:pPr>
      <w:jc w:val="right"/>
    </w:pPr>
    <w:r>
      <w:rPr>
        <w:rFonts w:ascii="Arial" w:cs="Arial" w:eastAsia="Arial" w:hAnsi="Arial"/>
        <w:color w:val="7F7F7F"/>
        <w:sz w:val="15"/>
        <w:szCs w:val="15"/>
      </w:rPr>
      <w:t xml:space="preserve">Escuela de Informática y Telecomunicaciones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rPr>
        <w:color w:val="07376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41fb27ebeb7b62be9da1a50c6e9fb15bc9e99b7.png"/></Relationships>
</file>

<file path=word/_rels/header2.xml.rels><?xml version="1.0" encoding="UTF-8"?><Relationships xmlns="http://schemas.openxmlformats.org/package/2006/relationships"><Relationship Id="rId0" Type="http://schemas.openxmlformats.org/officeDocument/2006/relationships/image" Target="media/141fb27ebeb7b62be9da1a50c6e9fb15bc9e99b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Stakeholders · KontadorIA</dc:title>
  <dc:creator>Equipo KontadorIA</dc:creator>
  <cp:lastModifiedBy>Un-named</cp:lastModifiedBy>
  <cp:revision>1</cp:revision>
  <dcterms:created xsi:type="dcterms:W3CDTF">2026-10-13T02:05:31.142Z</dcterms:created>
  <dcterms:modified xsi:type="dcterms:W3CDTF">2026-10-13T02:05:31.142Z</dcterms:modified>
</cp:coreProperties>
</file>

<file path=docProps/custom.xml><?xml version="1.0" encoding="utf-8"?>
<Properties xmlns="http://schemas.openxmlformats.org/officeDocument/2006/custom-properties" xmlns:vt="http://schemas.openxmlformats.org/officeDocument/2006/docPropsVTypes"/>
</file>