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73763"/>
          <w:sz w:val="44"/>
          <w:szCs w:val="44"/>
        </w:rPr>
        <w:t xml:space="preserve">Product Roadmap</w:t>
      </w:r>
    </w:p>
    <w:p>
      <w:pPr>
        <w:spacing w:after="160"/>
        <w:jc w:val="center"/>
      </w:pPr>
      <w:r>
        <w:rPr>
          <w:rFonts w:ascii="Arial" w:cs="Arial" w:eastAsia="Arial" w:hAnsi="Arial"/>
          <w:color w:val="C9A227"/>
          <w:sz w:val="22"/>
          <w:szCs w:val="22"/>
        </w:rPr>
        <w:t xml:space="preserve">━━━━━</w:t>
      </w:r>
    </w:p>
    <w:p>
      <w:pPr>
        <w:spacing w:after="1600"/>
        <w:jc w:val="center"/>
      </w:pPr>
      <w:r>
        <w:rPr>
          <w:rFonts w:ascii="Arial" w:cs="Arial" w:eastAsia="Arial" w:hAnsi="Arial"/>
          <w:color w:val="595959"/>
          <w:sz w:val="24"/>
          <w:szCs w:val="24"/>
        </w:rPr>
        <w:t xml:space="preserve">KontadorIA · Sistema de Finanzas para PYMEs</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tblGrid>
      <w:tr>
        <w:tc>
          <w:tcPr>
            <w:tcW w:type="dxa" w:w="1600"/>
            <w:tcBorders>
              <w:top w:val="none"/>
              <w:left w:val="none"/>
              <w:bottom w:val="single" w:color="D9E1EC" w:sz="4"/>
              <w:right w:val="none"/>
            </w:tcBorders>
            <w:tcMar>
              <w:top w:type="dxa" w:w="60"/>
              <w:left w:type="dxa" w:w="80"/>
              <w:bottom w:type="dxa" w:w="60"/>
              <w:right w:type="dxa" w:w="80"/>
            </w:tcMar>
          </w:tcPr>
          <w:p>
            <w:r>
              <w:rPr>
                <w:rFonts w:ascii="Arial" w:cs="Arial" w:eastAsia="Arial" w:hAnsi="Arial"/>
                <w:b/>
                <w:bCs/>
                <w:color w:val="073763"/>
                <w:sz w:val="18"/>
                <w:szCs w:val="18"/>
              </w:rPr>
              <w:t xml:space="preserve">Asignatura</w:t>
            </w:r>
          </w:p>
        </w:tc>
        <w:tc>
          <w:tcPr>
            <w:tcW w:type="dxa" w:w="5000"/>
            <w:tcBorders>
              <w:top w:val="none"/>
              <w:left w:val="none"/>
              <w:bottom w:val="single" w:color="D9E1EC" w:sz="4"/>
              <w:right w:val="none"/>
            </w:tcBorders>
            <w:tcMar>
              <w:top w:type="dxa" w:w="60"/>
              <w:left w:type="dxa" w:w="80"/>
              <w:bottom w:type="dxa" w:w="60"/>
              <w:right w:type="dxa" w:w="80"/>
            </w:tcMar>
          </w:tcPr>
          <w:p>
            <w:r>
              <w:rPr>
                <w:rFonts w:ascii="Arial" w:cs="Arial" w:eastAsia="Arial" w:hAnsi="Arial"/>
                <w:color w:val="262626"/>
                <w:sz w:val="18"/>
                <w:szCs w:val="18"/>
              </w:rPr>
              <w:t xml:space="preserve">Capstone</w:t>
            </w:r>
          </w:p>
        </w:tc>
      </w:tr>
      <w:tr>
        <w:tc>
          <w:tcPr>
            <w:tcW w:type="dxa" w:w="1600"/>
            <w:tcBorders>
              <w:top w:val="none"/>
              <w:left w:val="none"/>
              <w:bottom w:val="single" w:color="D9E1EC" w:sz="4"/>
              <w:right w:val="none"/>
            </w:tcBorders>
            <w:tcMar>
              <w:top w:type="dxa" w:w="60"/>
              <w:left w:type="dxa" w:w="80"/>
              <w:bottom w:type="dxa" w:w="60"/>
              <w:right w:type="dxa" w:w="80"/>
            </w:tcMar>
          </w:tcPr>
          <w:p>
            <w:r>
              <w:rPr>
                <w:rFonts w:ascii="Arial" w:cs="Arial" w:eastAsia="Arial" w:hAnsi="Arial"/>
                <w:b/>
                <w:bCs/>
                <w:color w:val="073763"/>
                <w:sz w:val="18"/>
                <w:szCs w:val="18"/>
              </w:rPr>
              <w:t xml:space="preserve">Sección</w:t>
            </w:r>
          </w:p>
        </w:tc>
        <w:tc>
          <w:tcPr>
            <w:tcW w:type="dxa" w:w="5000"/>
            <w:tcBorders>
              <w:top w:val="none"/>
              <w:left w:val="none"/>
              <w:bottom w:val="single" w:color="D9E1EC" w:sz="4"/>
              <w:right w:val="none"/>
            </w:tcBorders>
            <w:tcMar>
              <w:top w:type="dxa" w:w="60"/>
              <w:left w:type="dxa" w:w="80"/>
              <w:bottom w:type="dxa" w:w="60"/>
              <w:right w:type="dxa" w:w="80"/>
            </w:tcMar>
          </w:tcPr>
          <w:p>
            <w:r>
              <w:rPr>
                <w:rFonts w:ascii="Arial" w:cs="Arial" w:eastAsia="Arial" w:hAnsi="Arial"/>
                <w:color w:val="262626"/>
                <w:sz w:val="18"/>
                <w:szCs w:val="18"/>
              </w:rPr>
              <w:t xml:space="preserve">005D</w:t>
            </w:r>
          </w:p>
        </w:tc>
      </w:tr>
      <w:tr>
        <w:tc>
          <w:tcPr>
            <w:tcW w:type="dxa" w:w="1600"/>
            <w:tcBorders>
              <w:top w:val="none"/>
              <w:left w:val="none"/>
              <w:bottom w:val="single" w:color="D9E1EC" w:sz="4"/>
              <w:right w:val="none"/>
            </w:tcBorders>
            <w:tcMar>
              <w:top w:type="dxa" w:w="60"/>
              <w:left w:type="dxa" w:w="80"/>
              <w:bottom w:type="dxa" w:w="60"/>
              <w:right w:type="dxa" w:w="80"/>
            </w:tcMar>
          </w:tcPr>
          <w:p>
            <w:r>
              <w:rPr>
                <w:rFonts w:ascii="Arial" w:cs="Arial" w:eastAsia="Arial" w:hAnsi="Arial"/>
                <w:b/>
                <w:bCs/>
                <w:color w:val="073763"/>
                <w:sz w:val="18"/>
                <w:szCs w:val="18"/>
              </w:rPr>
              <w:t xml:space="preserve">Docente</w:t>
            </w:r>
          </w:p>
        </w:tc>
        <w:tc>
          <w:tcPr>
            <w:tcW w:type="dxa" w:w="5000"/>
            <w:tcBorders>
              <w:top w:val="none"/>
              <w:left w:val="none"/>
              <w:bottom w:val="single" w:color="D9E1EC" w:sz="4"/>
              <w:right w:val="none"/>
            </w:tcBorders>
            <w:tcMar>
              <w:top w:type="dxa" w:w="60"/>
              <w:left w:type="dxa" w:w="80"/>
              <w:bottom w:type="dxa" w:w="60"/>
              <w:right w:type="dxa" w:w="80"/>
            </w:tcMar>
          </w:tcPr>
          <w:p>
            <w:r>
              <w:rPr>
                <w:rFonts w:ascii="Arial" w:cs="Arial" w:eastAsia="Arial" w:hAnsi="Arial"/>
                <w:color w:val="262626"/>
                <w:sz w:val="18"/>
                <w:szCs w:val="18"/>
              </w:rPr>
              <w:t xml:space="preserve">Cindy Contador</w:t>
            </w:r>
          </w:p>
        </w:tc>
      </w:tr>
      <w:tr>
        <w:tc>
          <w:tcPr>
            <w:tcW w:type="dxa" w:w="1600"/>
            <w:tcBorders>
              <w:top w:val="none"/>
              <w:left w:val="none"/>
              <w:bottom w:val="single" w:color="D9E1EC" w:sz="4"/>
              <w:right w:val="none"/>
            </w:tcBorders>
            <w:tcMar>
              <w:top w:type="dxa" w:w="60"/>
              <w:left w:type="dxa" w:w="80"/>
              <w:bottom w:type="dxa" w:w="60"/>
              <w:right w:type="dxa" w:w="80"/>
            </w:tcMar>
          </w:tcPr>
          <w:p>
            <w:r>
              <w:rPr>
                <w:rFonts w:ascii="Arial" w:cs="Arial" w:eastAsia="Arial" w:hAnsi="Arial"/>
                <w:b/>
                <w:bCs/>
                <w:color w:val="073763"/>
                <w:sz w:val="18"/>
                <w:szCs w:val="18"/>
              </w:rPr>
              <w:t xml:space="preserve">Sede</w:t>
            </w:r>
          </w:p>
        </w:tc>
        <w:tc>
          <w:tcPr>
            <w:tcW w:type="dxa" w:w="5000"/>
            <w:tcBorders>
              <w:top w:val="none"/>
              <w:left w:val="none"/>
              <w:bottom w:val="single" w:color="D9E1EC" w:sz="4"/>
              <w:right w:val="none"/>
            </w:tcBorders>
            <w:tcMar>
              <w:top w:type="dxa" w:w="60"/>
              <w:left w:type="dxa" w:w="80"/>
              <w:bottom w:type="dxa" w:w="60"/>
              <w:right w:type="dxa" w:w="80"/>
            </w:tcMar>
          </w:tcPr>
          <w:p>
            <w:r>
              <w:rPr>
                <w:rFonts w:ascii="Arial" w:cs="Arial" w:eastAsia="Arial" w:hAnsi="Arial"/>
                <w:color w:val="262626"/>
                <w:sz w:val="18"/>
                <w:szCs w:val="18"/>
              </w:rPr>
              <w:t xml:space="preserve">Antonio Varas</w:t>
            </w:r>
          </w:p>
        </w:tc>
      </w:tr>
      <w:tr>
        <w:tc>
          <w:tcPr>
            <w:tcW w:type="dxa" w:w="1600"/>
            <w:tcBorders>
              <w:top w:val="none"/>
              <w:left w:val="none"/>
              <w:bottom w:val="single" w:color="D9E1EC" w:sz="4"/>
              <w:right w:val="none"/>
            </w:tcBorders>
            <w:tcMar>
              <w:top w:type="dxa" w:w="60"/>
              <w:left w:type="dxa" w:w="80"/>
              <w:bottom w:type="dxa" w:w="60"/>
              <w:right w:type="dxa" w:w="80"/>
            </w:tcMar>
          </w:tcPr>
          <w:p>
            <w:r>
              <w:rPr>
                <w:rFonts w:ascii="Arial" w:cs="Arial" w:eastAsia="Arial" w:hAnsi="Arial"/>
                <w:b/>
                <w:bCs/>
                <w:color w:val="073763"/>
                <w:sz w:val="18"/>
                <w:szCs w:val="18"/>
              </w:rPr>
              <w:t xml:space="preserve">Integrantes</w:t>
            </w:r>
          </w:p>
        </w:tc>
        <w:tc>
          <w:tcPr>
            <w:tcW w:type="dxa" w:w="5000"/>
            <w:tcBorders>
              <w:top w:val="none"/>
              <w:left w:val="none"/>
              <w:bottom w:val="single" w:color="D9E1EC" w:sz="4"/>
              <w:right w:val="none"/>
            </w:tcBorders>
            <w:tcMar>
              <w:top w:type="dxa" w:w="60"/>
              <w:left w:type="dxa" w:w="80"/>
              <w:bottom w:type="dxa" w:w="60"/>
              <w:right w:type="dxa" w:w="80"/>
            </w:tcMar>
          </w:tcPr>
          <w:p>
            <w:r>
              <w:rPr>
                <w:rFonts w:ascii="Arial" w:cs="Arial" w:eastAsia="Arial" w:hAnsi="Arial"/>
                <w:color w:val="262626"/>
                <w:sz w:val="18"/>
                <w:szCs w:val="18"/>
              </w:rPr>
              <w:t xml:space="preserve">Diego Gallardo · Scrum Master</w:t>
            </w:r>
          </w:p>
          <w:p>
            <w:r>
              <w:rPr>
                <w:rFonts w:ascii="Arial" w:cs="Arial" w:eastAsia="Arial" w:hAnsi="Arial"/>
                <w:color w:val="262626"/>
                <w:sz w:val="18"/>
                <w:szCs w:val="18"/>
              </w:rPr>
              <w:t xml:space="preserve">Vicente Hermosilla · Product Owner</w:t>
            </w:r>
          </w:p>
          <w:p>
            <w:r>
              <w:rPr>
                <w:rFonts w:ascii="Arial" w:cs="Arial" w:eastAsia="Arial" w:hAnsi="Arial"/>
                <w:color w:val="262626"/>
                <w:sz w:val="18"/>
                <w:szCs w:val="18"/>
              </w:rPr>
              <w:t xml:space="preserve">Felipe Quezada · Desarrollador</w:t>
            </w:r>
          </w:p>
        </w:tc>
      </w:tr>
      <w:tr>
        <w:tc>
          <w:tcPr>
            <w:tcW w:type="dxa" w:w="1600"/>
            <w:tcBorders>
              <w:top w:val="none"/>
              <w:left w:val="none"/>
              <w:bottom w:val="single" w:color="D9E1EC" w:sz="4"/>
              <w:right w:val="none"/>
            </w:tcBorders>
            <w:tcMar>
              <w:top w:type="dxa" w:w="60"/>
              <w:left w:type="dxa" w:w="80"/>
              <w:bottom w:type="dxa" w:w="60"/>
              <w:right w:type="dxa" w:w="80"/>
            </w:tcMar>
          </w:tcPr>
          <w:p>
            <w:r>
              <w:rPr>
                <w:rFonts w:ascii="Arial" w:cs="Arial" w:eastAsia="Arial" w:hAnsi="Arial"/>
                <w:b/>
                <w:bCs/>
                <w:color w:val="073763"/>
                <w:sz w:val="18"/>
                <w:szCs w:val="18"/>
              </w:rPr>
              <w:t xml:space="preserve">Versión</w:t>
            </w:r>
          </w:p>
        </w:tc>
        <w:tc>
          <w:tcPr>
            <w:tcW w:type="dxa" w:w="5000"/>
            <w:tcBorders>
              <w:top w:val="none"/>
              <w:left w:val="none"/>
              <w:bottom w:val="single" w:color="D9E1EC" w:sz="4"/>
              <w:right w:val="none"/>
            </w:tcBorders>
            <w:tcMar>
              <w:top w:type="dxa" w:w="60"/>
              <w:left w:type="dxa" w:w="80"/>
              <w:bottom w:type="dxa" w:w="60"/>
              <w:right w:type="dxa" w:w="80"/>
            </w:tcMar>
          </w:tcPr>
          <w:p>
            <w:r>
              <w:rPr>
                <w:rFonts w:ascii="Arial" w:cs="Arial" w:eastAsia="Arial" w:hAnsi="Arial"/>
                <w:color w:val="262626"/>
                <w:sz w:val="18"/>
                <w:szCs w:val="18"/>
              </w:rPr>
              <w:t xml:space="preserve">1.0</w:t>
            </w:r>
          </w:p>
        </w:tc>
      </w:tr>
      <w:tr>
        <w:tc>
          <w:tcPr>
            <w:tcW w:type="dxa" w:w="1600"/>
            <w:tcBorders>
              <w:top w:val="none"/>
              <w:left w:val="none"/>
              <w:bottom w:val="single" w:color="D9E1EC" w:sz="4"/>
              <w:right w:val="none"/>
            </w:tcBorders>
            <w:tcMar>
              <w:top w:type="dxa" w:w="60"/>
              <w:left w:type="dxa" w:w="80"/>
              <w:bottom w:type="dxa" w:w="60"/>
              <w:right w:type="dxa" w:w="80"/>
            </w:tcMar>
          </w:tcPr>
          <w:p>
            <w:r>
              <w:rPr>
                <w:rFonts w:ascii="Arial" w:cs="Arial" w:eastAsia="Arial" w:hAnsi="Arial"/>
                <w:b/>
                <w:bCs/>
                <w:color w:val="073763"/>
                <w:sz w:val="18"/>
                <w:szCs w:val="18"/>
              </w:rPr>
              <w:t xml:space="preserve">Fecha</w:t>
            </w:r>
          </w:p>
        </w:tc>
        <w:tc>
          <w:tcPr>
            <w:tcW w:type="dxa" w:w="5000"/>
            <w:tcBorders>
              <w:top w:val="none"/>
              <w:left w:val="none"/>
              <w:bottom w:val="single" w:color="D9E1EC" w:sz="4"/>
              <w:right w:val="none"/>
            </w:tcBorders>
            <w:tcMar>
              <w:top w:type="dxa" w:w="60"/>
              <w:left w:type="dxa" w:w="80"/>
              <w:bottom w:type="dxa" w:w="60"/>
              <w:right w:type="dxa" w:w="80"/>
            </w:tcMar>
          </w:tcPr>
          <w:p>
            <w:r>
              <w:rPr>
                <w:rFonts w:ascii="Arial" w:cs="Arial" w:eastAsia="Arial" w:hAnsi="Arial"/>
                <w:color w:val="262626"/>
                <w:sz w:val="18"/>
                <w:szCs w:val="18"/>
              </w:rPr>
              <w:t xml:space="preserve">11 de octubre de 2026</w:t>
            </w:r>
          </w:p>
        </w:tc>
      </w:tr>
    </w:tbl>
    <w:p>
      <w:r>
        <w:br w:type="page"/>
      </w:r>
    </w:p>
    <w:p>
      <w:pPr>
        <w:spacing w:after="200"/>
      </w:pPr>
      <w:r>
        <w:rPr>
          <w:rFonts w:ascii="Arial" w:cs="Arial" w:eastAsia="Arial" w:hAnsi="Arial"/>
          <w:b/>
          <w:bCs/>
          <w:color w:val="073763"/>
          <w:sz w:val="30"/>
          <w:szCs w:val="30"/>
        </w:rPr>
        <w:t xml:space="preserve">Índice</w:t>
      </w:r>
    </w:p>
    <w:sdt>
      <w:sdtPr>
        <w:alias w:val="Índice"/>
      </w:sdtPr>
      <w:sdtContent>
        <w:p>
          <w:pPr>
            <w:pStyle w:val="TOC1"/>
            <w:tabs>
              <w:tab w:val="right" w:pos="9029" w:leader="dot"/>
            </w:tabs>
          </w:pPr>
          <w:r>
            <w:fldChar w:fldCharType="begin" w:dirty="true"/>
            <w:instrText xml:space="preserve">TOC \h \o "1-1"</w:instrText>
            <w:fldChar w:fldCharType="separate"/>
          </w:r>
          <w:hyperlink w:history="1" w:anchor="_Toc1">
            <w:r>
              <w:t xml:space="preserve">1. Propósito del roadmap</w:t>
            </w:r>
            <w:r>
              <w:tab/>
            </w:r>
            <w:r>
              <w:fldChar w:fldCharType="begin" w:dirty="true"/>
              <w:instrText xml:space="preserve">PAGEREF _Toc1 \h</w:instrText>
              <w:fldChar w:fldCharType="separate"/>
              <w:fldChar w:fldCharType="end"/>
            </w:r>
          </w:hyperlink>
        </w:p>
        <w:p>
          <w:pPr>
            <w:pStyle w:val="TOC1"/>
            <w:tabs>
              <w:tab w:val="right" w:pos="9029" w:leader="dot"/>
            </w:tabs>
          </w:pPr>
          <w:hyperlink w:history="1" w:anchor="_Toc2">
            <w:r>
              <w:t xml:space="preserve">2. Visión general</w:t>
            </w:r>
            <w:r>
              <w:tab/>
            </w:r>
            <w:r>
              <w:fldChar w:fldCharType="begin" w:dirty="true"/>
              <w:instrText xml:space="preserve">PAGEREF _Toc2 \h</w:instrText>
              <w:fldChar w:fldCharType="separate"/>
              <w:fldChar w:fldCharType="end"/>
            </w:r>
          </w:hyperlink>
        </w:p>
        <w:p>
          <w:pPr>
            <w:pStyle w:val="TOC1"/>
            <w:tabs>
              <w:tab w:val="right" w:pos="9029" w:leader="dot"/>
            </w:tabs>
          </w:pPr>
          <w:hyperlink w:history="1" w:anchor="_Toc3">
            <w:r>
              <w:t xml:space="preserve">3. Línea de tiempo</w:t>
            </w:r>
            <w:r>
              <w:tab/>
            </w:r>
            <w:r>
              <w:fldChar w:fldCharType="begin" w:dirty="true"/>
              <w:instrText xml:space="preserve">PAGEREF _Toc3 \h</w:instrText>
              <w:fldChar w:fldCharType="separate"/>
              <w:fldChar w:fldCharType="end"/>
            </w:r>
          </w:hyperlink>
        </w:p>
        <w:p>
          <w:pPr>
            <w:pStyle w:val="TOC1"/>
            <w:tabs>
              <w:tab w:val="right" w:pos="9029" w:leader="dot"/>
            </w:tabs>
          </w:pPr>
          <w:hyperlink w:history="1" w:anchor="_Toc4">
            <w:r>
              <w:t xml:space="preserve">4. Detalle por sprint</w:t>
            </w:r>
            <w:r>
              <w:tab/>
            </w:r>
            <w:r>
              <w:fldChar w:fldCharType="begin" w:dirty="true"/>
              <w:instrText xml:space="preserve">PAGEREF _Toc4 \h</w:instrText>
              <w:fldChar w:fldCharType="separate"/>
              <w:fldChar w:fldCharType="end"/>
            </w:r>
          </w:hyperlink>
        </w:p>
        <w:p>
          <w:pPr>
            <w:pStyle w:val="TOC1"/>
            <w:tabs>
              <w:tab w:val="right" w:pos="9029" w:leader="dot"/>
            </w:tabs>
          </w:pPr>
          <w:hyperlink w:history="1" w:anchor="_Toc5">
            <w:r>
              <w:t xml:space="preserve">5. Hitos</w:t>
            </w:r>
            <w:r>
              <w:tab/>
            </w:r>
            <w:r>
              <w:fldChar w:fldCharType="begin" w:dirty="true"/>
              <w:instrText xml:space="preserve">PAGEREF _Toc5 \h</w:instrText>
              <w:fldChar w:fldCharType="separate"/>
              <w:fldChar w:fldCharType="end"/>
            </w:r>
          </w:hyperlink>
        </w:p>
        <w:p>
          <w:pPr>
            <w:pStyle w:val="TOC1"/>
            <w:tabs>
              <w:tab w:val="right" w:pos="9029" w:leader="dot"/>
            </w:tabs>
          </w:pPr>
          <w:hyperlink w:history="1" w:anchor="_Toc6">
            <w:r>
              <w:t xml:space="preserve">6. Después del Capstone</w:t>
            </w:r>
            <w:r>
              <w:tab/>
            </w:r>
            <w:r>
              <w:fldChar w:fldCharType="begin" w:dirty="true"/>
              <w:instrText xml:space="preserve">PAGEREF _Toc6 \h</w:instrText>
              <w:fldChar w:fldCharType="separate"/>
              <w:fldChar w:fldCharType="end"/>
            </w:r>
          </w:hyperlink>
        </w:p>
        <w:p>
          <w:pPr>
            <w:pStyle w:val="TOC1"/>
            <w:tabs>
              <w:tab w:val="right" w:pos="9029" w:leader="dot"/>
            </w:tabs>
          </w:pPr>
          <w:hyperlink w:history="1" w:anchor="_Toc7">
            <w:r>
              <w:t xml:space="preserve">7. Supuestos y riesgos del plan</w:t>
            </w:r>
            <w:r>
              <w:tab/>
            </w:r>
            <w:r>
              <w:fldChar w:fldCharType="begin" w:dirty="true"/>
              <w:instrText xml:space="preserve">PAGEREF _Toc7 \h</w:instrText>
              <w:fldChar w:fldCharType="separate"/>
              <w:fldChar w:fldCharType="end"/>
            </w:r>
          </w:hyperlink>
        </w:p>
        <w:p>
          <w:r>
            <w:fldChar w:fldCharType="end"/>
          </w:r>
        </w:p>
      </w:sdtContent>
    </w:sdt>
    <w:p>
      <w:r>
        <w:br w:type="page"/>
      </w:r>
    </w:p>
    <w:p>
      <w:pPr>
        <w:pStyle w:val="Heading1"/>
        <w:keepNext/>
        <w:spacing w:after="80" w:before="280"/>
      </w:pPr>
      <w:bookmarkStart w:name="_Toc1" w:id="1"/>
      <w:r>
        <w:rPr>
          <w:rFonts w:ascii="Arial" w:cs="Arial" w:eastAsia="Arial" w:hAnsi="Arial"/>
          <w:b/>
          <w:bCs/>
          <w:color w:val="073763"/>
          <w:sz w:val="30"/>
          <w:szCs w:val="30"/>
        </w:rPr>
        <w:t xml:space="preserve">1. Propósito del roadmap</w:t>
      </w:r>
      <w:bookmarkEnd w:id="1"/>
    </w:p>
    <w:p>
      <w:pPr>
        <w:keepNext w:val="false"/>
        <w:spacing w:after="120" w:line="300"/>
        <w:jc w:val="both"/>
      </w:pPr>
      <w:r>
        <w:rPr>
          <w:rFonts w:ascii="Arial" w:cs="Arial" w:eastAsia="Arial" w:hAnsi="Arial"/>
          <w:color w:val="262626"/>
          <w:sz w:val="21"/>
          <w:szCs w:val="21"/>
        </w:rPr>
        <w:t xml:space="preserve">El roadmap muestra cómo evolucionará KontadorIA en el tiempo: qué se entrega en cada etapa, en qué orden y con qué objetivo. Traduce el Product Backlog en versiones y sprints con fechas, para que el equipo, la docente y los usuarios del piloto sepan qué esperar y cuándo.</w:t>
      </w:r>
    </w:p>
    <w:p>
      <w:pPr>
        <w:keepNext w:val="false"/>
        <w:spacing w:after="120" w:line="300"/>
        <w:jc w:val="both"/>
      </w:pPr>
      <w:r>
        <w:rPr>
          <w:rFonts w:ascii="Arial" w:cs="Arial" w:eastAsia="Arial" w:hAnsi="Arial"/>
          <w:b/>
          <w:bCs/>
          <w:color w:val="262626"/>
          <w:sz w:val="21"/>
          <w:szCs w:val="21"/>
        </w:rPr>
        <w:t xml:space="preserve">Todas las etapas apuntan al Product Goal: </w:t>
      </w:r>
      <w:r>
        <w:rPr>
          <w:rFonts w:ascii="Arial" w:cs="Arial" w:eastAsia="Arial" w:hAnsi="Arial"/>
          <w:color w:val="262626"/>
          <w:sz w:val="21"/>
          <w:szCs w:val="21"/>
        </w:rPr>
        <w:t xml:space="preserve">que las pequeñas PYMEs chilenas centralicen y controlen sus movimientos financieros sin conocimientos contables, registrando gastos e ingresos en el momento (a mano, con una foto de la boleta o importando su Excel), con cada persona según su rol y la información de cada empresa protegida.</w:t>
      </w:r>
    </w:p>
    <w:p>
      <w:pPr>
        <w:keepNext w:val="false"/>
        <w:spacing w:after="120" w:line="300"/>
        <w:jc w:val="both"/>
      </w:pPr>
      <w:r>
        <w:rPr>
          <w:rFonts w:ascii="Arial" w:cs="Arial" w:eastAsia="Arial" w:hAnsi="Arial"/>
          <w:color w:val="262626"/>
          <w:sz w:val="21"/>
          <w:szCs w:val="21"/>
        </w:rPr>
        <w:t xml:space="preserve">El roadmap es un plan vivo: el Product Owner lo revisa al cierre de cada sprint (Sprint Review) y lo ajusta según el avance real y el feedback de los usuarios.</w:t>
      </w:r>
    </w:p>
    <w:p>
      <w:pPr>
        <w:keepNext w:val="false"/>
        <w:spacing w:after="120" w:line="300"/>
        <w:jc w:val="both"/>
      </w:pPr>
      <w:r>
        <w:rPr>
          <w:rFonts w:ascii="Arial" w:cs="Arial" w:eastAsia="Arial" w:hAnsi="Arial"/>
          <w:i/>
          <w:iCs/>
          <w:color w:val="7F7F7F"/>
          <w:sz w:val="17"/>
          <w:szCs w:val="17"/>
        </w:rPr>
        <w:t xml:space="preserve">Fuentes: Product Backlog (11-10-2026), Historias de Usuario v1.2 y planificación de sprints en Jira.</w:t>
      </w:r>
    </w:p>
    <w:p>
      <w:pPr>
        <w:pStyle w:val="Heading1"/>
        <w:keepNext/>
        <w:spacing w:after="80" w:before="280"/>
      </w:pPr>
      <w:bookmarkStart w:name="_Toc2" w:id="2"/>
      <w:r>
        <w:rPr>
          <w:rFonts w:ascii="Arial" w:cs="Arial" w:eastAsia="Arial" w:hAnsi="Arial"/>
          <w:b/>
          <w:bCs/>
          <w:color w:val="073763"/>
          <w:sz w:val="30"/>
          <w:szCs w:val="30"/>
        </w:rPr>
        <w:t xml:space="preserve">2. Visión general</w:t>
      </w:r>
      <w:bookmarkEnd w:id="2"/>
    </w:p>
    <w:p>
      <w:pPr>
        <w:keepNext w:val="false"/>
        <w:spacing w:after="120" w:line="300"/>
        <w:jc w:val="both"/>
      </w:pPr>
      <w:r>
        <w:rPr>
          <w:rFonts w:ascii="Arial" w:cs="Arial" w:eastAsia="Arial" w:hAnsi="Arial"/>
          <w:color w:val="262626"/>
          <w:sz w:val="21"/>
          <w:szCs w:val="21"/>
        </w:rPr>
        <w:t xml:space="preserve">El producto avanza en cuatro horizontes. Las dos primeras versiones forman el alcance del Capstone; las etapas posteriores quedan planteadas para una eventual continuidad del proyecto como negocio.</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5829"/>
      </w:tblGrid>
      <w:tr>
        <w:trPr>
          <w:tblHeader/>
        </w:trPr>
        <w:tc>
          <w:tcPr>
            <w:tcW w:type="dxa" w:w="17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Horizonte</w:t>
            </w:r>
          </w:p>
        </w:tc>
        <w:tc>
          <w:tcPr>
            <w:tcW w:type="dxa" w:w="15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Período</w:t>
            </w:r>
          </w:p>
        </w:tc>
        <w:tc>
          <w:tcPr>
            <w:tcW w:type="dxa" w:w="58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Qué entrega</w:t>
            </w:r>
          </w:p>
        </w:tc>
      </w:tr>
      <w:tr>
        <w:trPr>
          <w:cantSplit/>
        </w:trPr>
        <w:tc>
          <w:tcPr>
            <w:tcW w:type="dxa" w:w="1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Fase 0 · Fundaciones</w:t>
            </w:r>
          </w:p>
        </w:tc>
        <w:tc>
          <w:tcPr>
            <w:tcW w:type="dxa" w:w="15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Ago – Sep 2026</w:t>
            </w:r>
          </w:p>
        </w:tc>
        <w:tc>
          <w:tcPr>
            <w:tcW w:type="dxa" w:w="58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Infraestructura en Azure, repositorio con CI/CD, dominio kontadoria.cl y landing con el formulario del programa piloto en producción. Completada el 27 de septiembre.</w:t>
            </w:r>
          </w:p>
        </w:tc>
      </w:tr>
      <w:tr>
        <w:trPr>
          <w:cantSplit/>
        </w:trPr>
        <w:tc>
          <w:tcPr>
            <w:tcW w:type="dxa" w:w="1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Versión 1.0 · MVP</w:t>
            </w:r>
          </w:p>
        </w:tc>
        <w:tc>
          <w:tcPr>
            <w:tcW w:type="dxa" w:w="15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Sprints 1 – 3 (oct – nov)</w:t>
            </w:r>
          </w:p>
        </w:tc>
        <w:tc>
          <w:tcPr>
            <w:tcW w:type="dxa" w:w="58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Una PYME se registra, invita a su equipo con roles, registra movimientos a mano o con una foto de la boleta (IA) y ve su resumen mensual. Es la primera versión usable por una PYME piloto.</w:t>
            </w:r>
          </w:p>
        </w:tc>
      </w:tr>
      <w:tr>
        <w:trPr>
          <w:cantSplit/>
        </w:trPr>
        <w:tc>
          <w:tcPr>
            <w:tcW w:type="dxa" w:w="1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Versión 1.1 · Alcance completo</w:t>
            </w:r>
          </w:p>
        </w:tc>
        <w:tc>
          <w:tcPr>
            <w:tcW w:type="dxa" w:w="15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Sprints 4 – 5 (nov – dic)</w:t>
            </w:r>
          </w:p>
        </w:tc>
        <w:tc>
          <w:tcPr>
            <w:tcW w:type="dxa" w:w="58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Importación masiva desde Excel/CSV, exportación de reportes y presupuestos por categoría. Completa el alcance comprometido para la versión 1.</w:t>
            </w:r>
          </w:p>
        </w:tc>
      </w:tr>
      <w:tr>
        <w:trPr>
          <w:cantSplit/>
        </w:trPr>
        <w:tc>
          <w:tcPr>
            <w:tcW w:type="dxa" w:w="1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val="false"/>
              <w:spacing w:after="0" w:line="260"/>
              <w:jc w:val="left"/>
            </w:pPr>
            <w:r>
              <w:rPr>
                <w:rFonts w:ascii="Arial" w:cs="Arial" w:eastAsia="Arial" w:hAnsi="Arial"/>
                <w:b/>
                <w:bCs/>
                <w:color w:val="073763"/>
                <w:sz w:val="19"/>
                <w:szCs w:val="19"/>
              </w:rPr>
              <w:t xml:space="preserve">Post-título</w:t>
            </w:r>
          </w:p>
        </w:tc>
        <w:tc>
          <w:tcPr>
            <w:tcW w:type="dxa" w:w="15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b w:val="false"/>
                <w:bCs w:val="false"/>
                <w:color w:val="262626"/>
                <w:sz w:val="19"/>
                <w:szCs w:val="19"/>
              </w:rPr>
              <w:t xml:space="preserve">2027 en adelante</w:t>
            </w:r>
          </w:p>
        </w:tc>
        <w:tc>
          <w:tcPr>
            <w:tcW w:type="dxa" w:w="58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b w:val="false"/>
                <w:bCs w:val="false"/>
                <w:color w:val="262626"/>
                <w:sz w:val="19"/>
                <w:szCs w:val="19"/>
              </w:rPr>
              <w:t xml:space="preserve">Validación con PYMEs piloto, monetización (planes y pasarela de pago) e ideas del backlog futuro.</w:t>
            </w:r>
          </w:p>
        </w:tc>
      </w:tr>
    </w:tbl>
    <w:p>
      <w:pPr>
        <w:pStyle w:val="Heading1"/>
        <w:keepNext/>
        <w:pageBreakBefore/>
        <w:spacing w:after="80" w:before="280"/>
      </w:pPr>
      <w:bookmarkStart w:name="_Toc3" w:id="3"/>
      <w:r>
        <w:rPr>
          <w:rFonts w:ascii="Arial" w:cs="Arial" w:eastAsia="Arial" w:hAnsi="Arial"/>
          <w:b/>
          <w:bCs/>
          <w:color w:val="073763"/>
          <w:sz w:val="30"/>
          <w:szCs w:val="30"/>
        </w:rPr>
        <w:t xml:space="preserve">3. Línea de tiempo</w:t>
      </w:r>
      <w:bookmarkEnd w:id="3"/>
    </w:p>
    <w:p>
      <w:pPr>
        <w:keepNext/>
        <w:spacing w:after="120" w:line="300"/>
        <w:jc w:val="both"/>
      </w:pPr>
      <w:r>
        <w:rPr>
          <w:rFonts w:ascii="Arial" w:cs="Arial" w:eastAsia="Arial" w:hAnsi="Arial"/>
          <w:color w:val="262626"/>
          <w:sz w:val="21"/>
          <w:szCs w:val="21"/>
        </w:rPr>
        <w:t xml:space="preserve">Los sprints duran dos semanas, salvo el Sprint 1, que dura una (12 al 16 de octubre) para mantener el calendario. La tabla ubica cada etapa en el calendario (por quincena).</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629"/>
        <w:gridCol w:w="800"/>
        <w:gridCol w:w="800"/>
        <w:gridCol w:w="800"/>
        <w:gridCol w:w="800"/>
        <w:gridCol w:w="800"/>
        <w:gridCol w:w="800"/>
        <w:gridCol w:w="800"/>
        <w:gridCol w:w="800"/>
      </w:tblGrid>
      <w:tr>
        <w:trPr>
          <w:tblHeader/>
        </w:trPr>
        <w:tc>
          <w:tcPr>
            <w:tcW w:type="dxa" w:w="26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Etapa</w:t>
            </w:r>
          </w:p>
        </w:tc>
        <w:tc>
          <w:tcPr>
            <w:tcW w:type="dxa" w:w="8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center"/>
            </w:pPr>
            <w:r>
              <w:rPr>
                <w:rFonts w:ascii="Arial" w:cs="Arial" w:eastAsia="Arial" w:hAnsi="Arial"/>
                <w:b/>
                <w:bCs/>
                <w:color w:val="FFFFFF"/>
                <w:sz w:val="17"/>
                <w:szCs w:val="17"/>
              </w:rPr>
              <w:t xml:space="preserve">Ago</w:t>
            </w:r>
          </w:p>
        </w:tc>
        <w:tc>
          <w:tcPr>
            <w:tcW w:type="dxa" w:w="8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center"/>
            </w:pPr>
            <w:r>
              <w:rPr>
                <w:rFonts w:ascii="Arial" w:cs="Arial" w:eastAsia="Arial" w:hAnsi="Arial"/>
                <w:b/>
                <w:bCs/>
                <w:color w:val="FFFFFF"/>
                <w:sz w:val="17"/>
                <w:szCs w:val="17"/>
              </w:rPr>
              <w:t xml:space="preserve">Sep</w:t>
            </w:r>
          </w:p>
        </w:tc>
        <w:tc>
          <w:tcPr>
            <w:tcW w:type="dxa" w:w="8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center"/>
            </w:pPr>
            <w:r>
              <w:rPr>
                <w:rFonts w:ascii="Arial" w:cs="Arial" w:eastAsia="Arial" w:hAnsi="Arial"/>
                <w:b/>
                <w:bCs/>
                <w:color w:val="FFFFFF"/>
                <w:sz w:val="17"/>
                <w:szCs w:val="17"/>
              </w:rPr>
              <w:t xml:space="preserve">Oct 1ª</w:t>
            </w:r>
          </w:p>
        </w:tc>
        <w:tc>
          <w:tcPr>
            <w:tcW w:type="dxa" w:w="8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center"/>
            </w:pPr>
            <w:r>
              <w:rPr>
                <w:rFonts w:ascii="Arial" w:cs="Arial" w:eastAsia="Arial" w:hAnsi="Arial"/>
                <w:b/>
                <w:bCs/>
                <w:color w:val="FFFFFF"/>
                <w:sz w:val="17"/>
                <w:szCs w:val="17"/>
              </w:rPr>
              <w:t xml:space="preserve">Oct 2ª</w:t>
            </w:r>
          </w:p>
        </w:tc>
        <w:tc>
          <w:tcPr>
            <w:tcW w:type="dxa" w:w="8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center"/>
            </w:pPr>
            <w:r>
              <w:rPr>
                <w:rFonts w:ascii="Arial" w:cs="Arial" w:eastAsia="Arial" w:hAnsi="Arial"/>
                <w:b/>
                <w:bCs/>
                <w:color w:val="FFFFFF"/>
                <w:sz w:val="17"/>
                <w:szCs w:val="17"/>
              </w:rPr>
              <w:t xml:space="preserve">Nov 1ª</w:t>
            </w:r>
          </w:p>
        </w:tc>
        <w:tc>
          <w:tcPr>
            <w:tcW w:type="dxa" w:w="8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center"/>
            </w:pPr>
            <w:r>
              <w:rPr>
                <w:rFonts w:ascii="Arial" w:cs="Arial" w:eastAsia="Arial" w:hAnsi="Arial"/>
                <w:b/>
                <w:bCs/>
                <w:color w:val="FFFFFF"/>
                <w:sz w:val="17"/>
                <w:szCs w:val="17"/>
              </w:rPr>
              <w:t xml:space="preserve">Nov 2ª</w:t>
            </w:r>
          </w:p>
        </w:tc>
        <w:tc>
          <w:tcPr>
            <w:tcW w:type="dxa" w:w="8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center"/>
            </w:pPr>
            <w:r>
              <w:rPr>
                <w:rFonts w:ascii="Arial" w:cs="Arial" w:eastAsia="Arial" w:hAnsi="Arial"/>
                <w:b/>
                <w:bCs/>
                <w:color w:val="FFFFFF"/>
                <w:sz w:val="17"/>
                <w:szCs w:val="17"/>
              </w:rPr>
              <w:t xml:space="preserve">Dic 1ª</w:t>
            </w:r>
          </w:p>
        </w:tc>
        <w:tc>
          <w:tcPr>
            <w:tcW w:type="dxa" w:w="8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center"/>
            </w:pPr>
            <w:r>
              <w:rPr>
                <w:rFonts w:ascii="Arial" w:cs="Arial" w:eastAsia="Arial" w:hAnsi="Arial"/>
                <w:b/>
                <w:bCs/>
                <w:color w:val="FFFFFF"/>
                <w:sz w:val="17"/>
                <w:szCs w:val="17"/>
              </w:rPr>
              <w:t xml:space="preserve">2027</w:t>
            </w:r>
          </w:p>
        </w:tc>
      </w:tr>
      <w:tr>
        <w:trPr>
          <w:cantSplit/>
        </w:trPr>
        <w:tc>
          <w:tcPr>
            <w:tcW w:type="dxa" w:w="2629"/>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8"/>
                <w:szCs w:val="18"/>
              </w:rPr>
              <w:t xml:space="preserve">Fase 0 · Fundaciones (completada)</w:t>
            </w:r>
          </w:p>
        </w:tc>
        <w:tc>
          <w:tcPr>
            <w:tcW w:type="dxa" w:w="800"/>
            <w:tcBorders>
              <w:top w:val="single" w:color="D9E1EC" w:sz="4"/>
              <w:left w:val="single" w:color="D9E1EC" w:sz="4"/>
              <w:bottom w:val="single" w:color="D9E1EC" w:sz="4"/>
              <w:right w:val="single" w:color="D9E1EC" w:sz="4"/>
            </w:tcBorders>
            <w:shd w:fill="8FA9C9" w:color="auto" w:val="clear"/>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shd w:fill="8FA9C9" w:color="auto" w:val="clear"/>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r>
      <w:tr>
        <w:trPr>
          <w:cantSplit/>
        </w:trPr>
        <w:tc>
          <w:tcPr>
            <w:tcW w:type="dxa" w:w="2629"/>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8"/>
                <w:szCs w:val="18"/>
              </w:rPr>
              <w:t xml:space="preserve">S1 · Base y acceso</w:t>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r>
      <w:tr>
        <w:trPr>
          <w:cantSplit/>
        </w:trPr>
        <w:tc>
          <w:tcPr>
            <w:tcW w:type="dxa" w:w="2629"/>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8"/>
                <w:szCs w:val="18"/>
              </w:rPr>
              <w:t xml:space="preserve">S2 · Equipo y registro</w:t>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r>
      <w:tr>
        <w:trPr>
          <w:cantSplit/>
        </w:trPr>
        <w:tc>
          <w:tcPr>
            <w:tcW w:type="dxa" w:w="2629"/>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8"/>
                <w:szCs w:val="18"/>
              </w:rPr>
              <w:t xml:space="preserve">S3 · IA y dashboard</w:t>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r>
      <w:tr>
        <w:trPr>
          <w:cantSplit/>
        </w:trPr>
        <w:tc>
          <w:tcPr>
            <w:tcW w:type="dxa" w:w="2629"/>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8"/>
                <w:szCs w:val="18"/>
              </w:rPr>
              <w:t xml:space="preserve">S4 · Importación masiva</w:t>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shd w:fill="3D6FA8" w:color="auto" w:val="clear"/>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r>
      <w:tr>
        <w:trPr>
          <w:cantSplit/>
        </w:trPr>
        <w:tc>
          <w:tcPr>
            <w:tcW w:type="dxa" w:w="2629"/>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8"/>
                <w:szCs w:val="18"/>
              </w:rPr>
              <w:t xml:space="preserve">S5 · Finanzas y cierre</w:t>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shd w:fill="3D6FA8" w:color="auto" w:val="clear"/>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color w:val="262626"/>
                <w:sz w:val="19"/>
                <w:szCs w:val="19"/>
              </w:rPr>
              <w:t xml:space="preserve"/>
            </w:r>
          </w:p>
        </w:tc>
      </w:tr>
      <w:tr>
        <w:trPr>
          <w:cantSplit/>
        </w:trPr>
        <w:tc>
          <w:tcPr>
            <w:tcW w:type="dxa" w:w="2629"/>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val="false"/>
              <w:spacing w:after="0" w:line="260"/>
              <w:jc w:val="left"/>
            </w:pPr>
            <w:r>
              <w:rPr>
                <w:rFonts w:ascii="Arial" w:cs="Arial" w:eastAsia="Arial" w:hAnsi="Arial"/>
                <w:b/>
                <w:bCs/>
                <w:color w:val="073763"/>
                <w:sz w:val="18"/>
                <w:szCs w:val="18"/>
              </w:rPr>
              <w:t xml:space="preserve">Post-título · piloto y monetización</w:t>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color w:val="262626"/>
                <w:sz w:val="19"/>
                <w:szCs w:val="19"/>
              </w:rPr>
              <w:t xml:space="preserve"/>
            </w:r>
          </w:p>
        </w:tc>
        <w:tc>
          <w:tcPr>
            <w:tcW w:type="dxa" w:w="800"/>
            <w:tcBorders>
              <w:top w:val="single" w:color="D9E1EC" w:sz="4"/>
              <w:left w:val="single" w:color="D9E1EC" w:sz="4"/>
              <w:bottom w:val="single" w:color="D9E1EC" w:sz="4"/>
              <w:right w:val="single" w:color="D9E1EC" w:sz="4"/>
            </w:tcBorders>
            <w:shd w:fill="E8D9A8" w:color="auto" w:val="clear"/>
            <w:tcMar>
              <w:top w:type="dxa" w:w="70"/>
              <w:left w:type="dxa" w:w="100"/>
              <w:bottom w:type="dxa" w:w="70"/>
              <w:right w:type="dxa" w:w="100"/>
            </w:tcMar>
            <w:vAlign w:val="top"/>
          </w:tcPr>
          <w:p>
            <w:pPr>
              <w:keepNext w:val="false"/>
              <w:spacing w:after="0" w:line="260"/>
              <w:jc w:val="left"/>
            </w:pPr>
            <w:r>
              <w:rPr>
                <w:rFonts w:ascii="Arial" w:cs="Arial" w:eastAsia="Arial" w:hAnsi="Arial"/>
                <w:color w:val="262626"/>
                <w:sz w:val="19"/>
                <w:szCs w:val="19"/>
              </w:rPr>
              <w:t xml:space="preserve"/>
            </w:r>
          </w:p>
        </w:tc>
      </w:tr>
    </w:tbl>
    <w:p>
      <w:pPr>
        <w:spacing w:after="200" w:before="80"/>
      </w:pPr>
      <w:r>
        <w:rPr>
          <w:rFonts w:ascii="Arial" w:cs="Arial" w:eastAsia="Arial" w:hAnsi="Arial"/>
          <w:color w:val="8FA9C9"/>
          <w:sz w:val="22"/>
          <w:szCs w:val="22"/>
        </w:rPr>
        <w:t xml:space="preserve">■ </w:t>
      </w:r>
      <w:r>
        <w:rPr>
          <w:rFonts w:ascii="Arial" w:cs="Arial" w:eastAsia="Arial" w:hAnsi="Arial"/>
          <w:color w:val="595959"/>
          <w:sz w:val="17"/>
          <w:szCs w:val="17"/>
        </w:rPr>
        <w:t xml:space="preserve">Completado     </w:t>
      </w:r>
      <w:r>
        <w:rPr>
          <w:rFonts w:ascii="Arial" w:cs="Arial" w:eastAsia="Arial" w:hAnsi="Arial"/>
          <w:color w:val="073763"/>
          <w:sz w:val="22"/>
          <w:szCs w:val="22"/>
        </w:rPr>
        <w:t xml:space="preserve">■ </w:t>
      </w:r>
      <w:r>
        <w:rPr>
          <w:rFonts w:ascii="Arial" w:cs="Arial" w:eastAsia="Arial" w:hAnsi="Arial"/>
          <w:color w:val="595959"/>
          <w:sz w:val="17"/>
          <w:szCs w:val="17"/>
        </w:rPr>
        <w:t xml:space="preserve">Versión 1.0 · MVP     </w:t>
      </w:r>
      <w:r>
        <w:rPr>
          <w:rFonts w:ascii="Arial" w:cs="Arial" w:eastAsia="Arial" w:hAnsi="Arial"/>
          <w:color w:val="3D6FA8"/>
          <w:sz w:val="22"/>
          <w:szCs w:val="22"/>
        </w:rPr>
        <w:t xml:space="preserve">■ </w:t>
      </w:r>
      <w:r>
        <w:rPr>
          <w:rFonts w:ascii="Arial" w:cs="Arial" w:eastAsia="Arial" w:hAnsi="Arial"/>
          <w:color w:val="595959"/>
          <w:sz w:val="17"/>
          <w:szCs w:val="17"/>
        </w:rPr>
        <w:t xml:space="preserve">Versión 1.1 · Alcance completo     </w:t>
      </w:r>
      <w:r>
        <w:rPr>
          <w:rFonts w:ascii="Arial" w:cs="Arial" w:eastAsia="Arial" w:hAnsi="Arial"/>
          <w:color w:val="E8D9A8"/>
          <w:sz w:val="22"/>
          <w:szCs w:val="22"/>
        </w:rPr>
        <w:t xml:space="preserve">■ </w:t>
      </w:r>
      <w:r>
        <w:rPr>
          <w:rFonts w:ascii="Arial" w:cs="Arial" w:eastAsia="Arial" w:hAnsi="Arial"/>
          <w:color w:val="595959"/>
          <w:sz w:val="17"/>
          <w:szCs w:val="17"/>
        </w:rPr>
        <w:t xml:space="preserve">Post-título     </w:t>
      </w:r>
    </w:p>
    <w:p>
      <w:pPr>
        <w:spacing w:after="200" w:before="60"/>
        <w:jc w:val="left"/>
      </w:pPr>
      <w:r>
        <w:rPr>
          <w:rFonts w:ascii="Arial" w:cs="Arial" w:eastAsia="Arial" w:hAnsi="Arial"/>
          <w:i/>
          <w:iCs/>
          <w:color w:val="7F7F7F"/>
          <w:sz w:val="17"/>
          <w:szCs w:val="17"/>
        </w:rPr>
        <w:t xml:space="preserve">Figura 1. Línea de tiempo de KontadorIA. Fechas de los sprints según la planificación en Jira (proyecto KONTADORIA).</w:t>
      </w:r>
    </w:p>
    <w:p>
      <w:pPr>
        <w:pStyle w:val="Heading1"/>
        <w:keepNext/>
        <w:spacing w:after="80" w:before="280"/>
      </w:pPr>
      <w:bookmarkStart w:name="_Toc4" w:id="4"/>
      <w:r>
        <w:rPr>
          <w:rFonts w:ascii="Arial" w:cs="Arial" w:eastAsia="Arial" w:hAnsi="Arial"/>
          <w:b/>
          <w:bCs/>
          <w:color w:val="073763"/>
          <w:sz w:val="30"/>
          <w:szCs w:val="30"/>
        </w:rPr>
        <w:t xml:space="preserve">4. Detalle por sprint</w:t>
      </w:r>
      <w:bookmarkEnd w:id="4"/>
    </w:p>
    <w:p>
      <w:pPr>
        <w:keepNext w:val="false"/>
        <w:spacing w:after="120" w:line="300"/>
        <w:jc w:val="both"/>
      </w:pPr>
      <w:r>
        <w:rPr>
          <w:rFonts w:ascii="Arial" w:cs="Arial" w:eastAsia="Arial" w:hAnsi="Arial"/>
          <w:color w:val="262626"/>
          <w:sz w:val="21"/>
          <w:szCs w:val="21"/>
        </w:rPr>
        <w:t xml:space="preserve">Cada sprint tiene un objetivo (Sprint Goal) y un incremento que se puede mostrar funcionando al cierre. El detalle de tareas de cada historia está en Jira y en el Sprint Backlog.</w:t>
      </w:r>
    </w:p>
    <w:p>
      <w:pPr>
        <w:pStyle w:val="Heading2"/>
        <w:keepNext/>
        <w:spacing w:after="60" w:before="200"/>
      </w:pPr>
      <w:r>
        <w:rPr>
          <w:rFonts w:ascii="Arial" w:cs="Arial" w:eastAsia="Arial" w:hAnsi="Arial"/>
          <w:b/>
          <w:bCs/>
          <w:color w:val="073763"/>
          <w:sz w:val="23"/>
          <w:szCs w:val="23"/>
        </w:rPr>
        <w:t xml:space="preserve">Sprint 1 — Base y acceso  (12 – 16 oct)</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900"/>
        <w:gridCol w:w="7129"/>
      </w:tblGrid>
      <w:tr>
        <w:trPr>
          <w:tblHeader/>
        </w:trPr>
        <w:tc>
          <w:tcPr>
            <w:tcW w:type="dxa" w:w="19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Campo</w:t>
            </w:r>
          </w:p>
        </w:tc>
        <w:tc>
          <w:tcPr>
            <w:tcW w:type="dxa" w:w="71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Detalle</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Sprint Goal</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Un dueño de PYME puede registrarse, crear su empresa e iniciar sesión, con los datos aislados por empresa (RLS) y las categorías predefinidas disponibles.</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Historias</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HU17, HU01, HU05, HU04</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Story points</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18</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val="false"/>
              <w:spacing w:after="0" w:line="260"/>
              <w:jc w:val="left"/>
            </w:pPr>
            <w:r>
              <w:rPr>
                <w:rFonts w:ascii="Arial" w:cs="Arial" w:eastAsia="Arial" w:hAnsi="Arial"/>
                <w:b/>
                <w:bCs/>
                <w:color w:val="073763"/>
                <w:sz w:val="19"/>
                <w:szCs w:val="19"/>
              </w:rPr>
              <w:t xml:space="preserve">Incremento demostrable</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b w:val="false"/>
                <w:bCs w:val="false"/>
                <w:color w:val="262626"/>
                <w:sz w:val="19"/>
                <w:szCs w:val="19"/>
              </w:rPr>
              <w:t xml:space="preserve">Registro de cuenta y empresa con categorías predefinidas, login con Entra External ID y pantalla "Mi empresa"; pruebas de aislamiento entre empresas.</w:t>
            </w:r>
          </w:p>
        </w:tc>
      </w:tr>
    </w:tbl>
    <w:p>
      <w:pPr>
        <w:spacing w:after="60"/>
      </w:pPr>
    </w:p>
    <w:p>
      <w:pPr>
        <w:pStyle w:val="Heading2"/>
        <w:keepNext/>
        <w:spacing w:after="60" w:before="200"/>
      </w:pPr>
      <w:r>
        <w:rPr>
          <w:rFonts w:ascii="Arial" w:cs="Arial" w:eastAsia="Arial" w:hAnsi="Arial"/>
          <w:b/>
          <w:bCs/>
          <w:color w:val="073763"/>
          <w:sz w:val="23"/>
          <w:szCs w:val="23"/>
        </w:rPr>
        <w:t xml:space="preserve">Sprint 2 — Equipo y registro  (19 – 30 oct)</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900"/>
        <w:gridCol w:w="7129"/>
      </w:tblGrid>
      <w:tr>
        <w:trPr>
          <w:tblHeader/>
        </w:trPr>
        <w:tc>
          <w:tcPr>
            <w:tcW w:type="dxa" w:w="19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Campo</w:t>
            </w:r>
          </w:p>
        </w:tc>
        <w:tc>
          <w:tcPr>
            <w:tcW w:type="dxa" w:w="71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Detalle</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Sprint Goal</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El administrador invita a su equipo con roles y permisos, y los usuarios registran y consultan movimientos manualmente.</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Historias</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HU03, HU14, HU02, HU06, HU07</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Story points</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23</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val="false"/>
              <w:spacing w:after="0" w:line="260"/>
              <w:jc w:val="left"/>
            </w:pPr>
            <w:r>
              <w:rPr>
                <w:rFonts w:ascii="Arial" w:cs="Arial" w:eastAsia="Arial" w:hAnsi="Arial"/>
                <w:b/>
                <w:bCs/>
                <w:color w:val="073763"/>
                <w:sz w:val="19"/>
                <w:szCs w:val="19"/>
              </w:rPr>
              <w:t xml:space="preserve">Incremento demostrable</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b w:val="false"/>
                <w:bCs w:val="false"/>
                <w:color w:val="262626"/>
                <w:sz w:val="19"/>
                <w:szCs w:val="19"/>
              </w:rPr>
              <w:t xml:space="preserve">Roles aplicados en la API, gestión de categorías, invitaciones por link y carga manual de ingresos y gastos con filtros.</w:t>
            </w:r>
          </w:p>
        </w:tc>
      </w:tr>
    </w:tbl>
    <w:p>
      <w:pPr>
        <w:spacing w:after="60"/>
      </w:pPr>
    </w:p>
    <w:p>
      <w:pPr>
        <w:pStyle w:val="Heading2"/>
        <w:keepNext/>
        <w:spacing w:after="60" w:before="200"/>
      </w:pPr>
      <w:r>
        <w:rPr>
          <w:rFonts w:ascii="Arial" w:cs="Arial" w:eastAsia="Arial" w:hAnsi="Arial"/>
          <w:b/>
          <w:bCs/>
          <w:color w:val="073763"/>
          <w:sz w:val="23"/>
          <w:szCs w:val="23"/>
        </w:rPr>
        <w:t xml:space="preserve">Sprint 3 — IA y dashboard  (2 – 13 nov)</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900"/>
        <w:gridCol w:w="7129"/>
      </w:tblGrid>
      <w:tr>
        <w:trPr>
          <w:tblHeader/>
        </w:trPr>
        <w:tc>
          <w:tcPr>
            <w:tcW w:type="dxa" w:w="19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Campo</w:t>
            </w:r>
          </w:p>
        </w:tc>
        <w:tc>
          <w:tcPr>
            <w:tcW w:type="dxa" w:w="71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Detalle</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Sprint Goal</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Cargar una boleta o factura con IA, confirmar los datos extraídos y ver el resumen mensual en el dashboard.</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Historias</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HU08, HU09, HU18</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Story points</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15</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val="false"/>
              <w:spacing w:after="0" w:line="260"/>
              <w:jc w:val="left"/>
            </w:pPr>
            <w:r>
              <w:rPr>
                <w:rFonts w:ascii="Arial" w:cs="Arial" w:eastAsia="Arial" w:hAnsi="Arial"/>
                <w:b/>
                <w:bCs/>
                <w:color w:val="073763"/>
                <w:sz w:val="19"/>
                <w:szCs w:val="19"/>
              </w:rPr>
              <w:t xml:space="preserve">Incremento demostrable</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b w:val="false"/>
                <w:bCs w:val="false"/>
                <w:color w:val="262626"/>
                <w:sz w:val="19"/>
                <w:szCs w:val="19"/>
              </w:rPr>
              <w:t xml:space="preserve">Foto o PDF de una boleta → datos extraídos por IA → confirmación del usuario; dashboard mensual por categoría.</w:t>
            </w:r>
          </w:p>
        </w:tc>
      </w:tr>
    </w:tbl>
    <w:p>
      <w:pPr>
        <w:spacing w:after="60"/>
      </w:pPr>
    </w:p>
    <w:p>
      <w:pPr>
        <w:pStyle w:val="Heading2"/>
        <w:keepNext/>
        <w:spacing w:after="60" w:before="200"/>
      </w:pPr>
      <w:r>
        <w:rPr>
          <w:rFonts w:ascii="Arial" w:cs="Arial" w:eastAsia="Arial" w:hAnsi="Arial"/>
          <w:b/>
          <w:bCs/>
          <w:color w:val="073763"/>
          <w:sz w:val="23"/>
          <w:szCs w:val="23"/>
        </w:rPr>
        <w:t xml:space="preserve">Sprint 4 — Importación masiva  (16 – 27 nov)</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900"/>
        <w:gridCol w:w="7129"/>
      </w:tblGrid>
      <w:tr>
        <w:trPr>
          <w:tblHeader/>
        </w:trPr>
        <w:tc>
          <w:tcPr>
            <w:tcW w:type="dxa" w:w="19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Campo</w:t>
            </w:r>
          </w:p>
        </w:tc>
        <w:tc>
          <w:tcPr>
            <w:tcW w:type="dxa" w:w="71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Detalle</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Sprint Goal</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Importar movimientos desde CSV/XLSX con validación por fila, vista previa antes de confirmar y trazabilidad de cada importación.</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Historias</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HU10, HU11, HU12, HU13</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Story points</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18</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val="false"/>
              <w:spacing w:after="0" w:line="260"/>
              <w:jc w:val="left"/>
            </w:pPr>
            <w:r>
              <w:rPr>
                <w:rFonts w:ascii="Arial" w:cs="Arial" w:eastAsia="Arial" w:hAnsi="Arial"/>
                <w:b/>
                <w:bCs/>
                <w:color w:val="073763"/>
                <w:sz w:val="19"/>
                <w:szCs w:val="19"/>
              </w:rPr>
              <w:t xml:space="preserve">Incremento demostrable</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b w:val="false"/>
                <w:bCs w:val="false"/>
                <w:color w:val="262626"/>
                <w:sz w:val="19"/>
                <w:szCs w:val="19"/>
              </w:rPr>
              <w:t xml:space="preserve">Importación de un Excel real con la plantilla, filas con error descargables y registro de cada importación.</w:t>
            </w:r>
          </w:p>
        </w:tc>
      </w:tr>
    </w:tbl>
    <w:p>
      <w:pPr>
        <w:spacing w:after="60"/>
      </w:pPr>
    </w:p>
    <w:p>
      <w:pPr>
        <w:pStyle w:val="Heading2"/>
        <w:keepNext/>
        <w:spacing w:after="60" w:before="200"/>
      </w:pPr>
      <w:r>
        <w:rPr>
          <w:rFonts w:ascii="Arial" w:cs="Arial" w:eastAsia="Arial" w:hAnsi="Arial"/>
          <w:b/>
          <w:bCs/>
          <w:color w:val="073763"/>
          <w:sz w:val="23"/>
          <w:szCs w:val="23"/>
        </w:rPr>
        <w:t xml:space="preserve">Sprint 5 — Finanzas y cierre  (30 nov – 11 dic)</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900"/>
        <w:gridCol w:w="7129"/>
      </w:tblGrid>
      <w:tr>
        <w:trPr>
          <w:tblHeader/>
        </w:trPr>
        <w:tc>
          <w:tcPr>
            <w:tcW w:type="dxa" w:w="19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Campo</w:t>
            </w:r>
          </w:p>
        </w:tc>
        <w:tc>
          <w:tcPr>
            <w:tcW w:type="dxa" w:w="71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Detalle</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Sprint Goal</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Presupuestos por categoría y mes, exportación de información financiera, y margen para ajustes antes de la defensa.</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Historias</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HU16, HU15</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Story points</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10</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val="false"/>
              <w:spacing w:after="0" w:line="260"/>
              <w:jc w:val="left"/>
            </w:pPr>
            <w:r>
              <w:rPr>
                <w:rFonts w:ascii="Arial" w:cs="Arial" w:eastAsia="Arial" w:hAnsi="Arial"/>
                <w:b/>
                <w:bCs/>
                <w:color w:val="073763"/>
                <w:sz w:val="19"/>
                <w:szCs w:val="19"/>
              </w:rPr>
              <w:t xml:space="preserve">Incremento demostrable</w:t>
            </w:r>
          </w:p>
        </w:tc>
        <w:tc>
          <w:tcPr>
            <w:tcW w:type="dxa" w:w="71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b w:val="false"/>
                <w:bCs w:val="false"/>
                <w:color w:val="262626"/>
                <w:sz w:val="19"/>
                <w:szCs w:val="19"/>
              </w:rPr>
              <w:t xml:space="preserve">Exportación a CSV/Excel y presupuestos mensuales; corrección de observaciones y preparación de la defensa.</w:t>
            </w:r>
          </w:p>
        </w:tc>
      </w:tr>
    </w:tbl>
    <w:p>
      <w:pPr>
        <w:spacing w:after="60"/>
      </w:pPr>
    </w:p>
    <w:p>
      <w:pPr>
        <w:keepNext w:val="false"/>
        <w:spacing w:after="120" w:line="300"/>
        <w:jc w:val="both"/>
      </w:pPr>
      <w:r>
        <w:rPr>
          <w:rFonts w:ascii="Arial" w:cs="Arial" w:eastAsia="Arial" w:hAnsi="Arial"/>
          <w:b/>
          <w:bCs/>
          <w:color w:val="262626"/>
          <w:sz w:val="21"/>
          <w:szCs w:val="21"/>
        </w:rPr>
        <w:t xml:space="preserve">Carga total: </w:t>
      </w:r>
      <w:r>
        <w:rPr>
          <w:rFonts w:ascii="Arial" w:cs="Arial" w:eastAsia="Arial" w:hAnsi="Arial"/>
          <w:color w:val="262626"/>
          <w:sz w:val="21"/>
          <w:szCs w:val="21"/>
        </w:rPr>
        <w:t xml:space="preserve">18 historias y 84 story points. El Sprint 1 dura una semana y se acota a la base de seguridad (18 puntos): registro, inicio de sesión, aislamiento entre empresas y datos de la empresa. La gestión de categorías (HU14) pasa al Sprint 2, que queda con la mayor carga (23 puntos). El Sprint 5 tiene una carga menor (10 puntos) a propósito: deja margen para absorber atrasos y preparar la defensa.</w:t>
      </w:r>
    </w:p>
    <w:p>
      <w:pPr>
        <w:pStyle w:val="Heading1"/>
        <w:keepNext/>
        <w:spacing w:after="80" w:before="280"/>
      </w:pPr>
      <w:bookmarkStart w:name="_Toc5" w:id="5"/>
      <w:r>
        <w:rPr>
          <w:rFonts w:ascii="Arial" w:cs="Arial" w:eastAsia="Arial" w:hAnsi="Arial"/>
          <w:b/>
          <w:bCs/>
          <w:color w:val="073763"/>
          <w:sz w:val="30"/>
          <w:szCs w:val="30"/>
        </w:rPr>
        <w:t xml:space="preserve">5. Hitos</w:t>
      </w:r>
      <w:bookmarkEnd w:id="5"/>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500"/>
        <w:gridCol w:w="7529"/>
      </w:tblGrid>
      <w:tr>
        <w:trPr>
          <w:tblHeader/>
        </w:trPr>
        <w:tc>
          <w:tcPr>
            <w:tcW w:type="dxa" w:w="15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Fecha</w:t>
            </w:r>
          </w:p>
        </w:tc>
        <w:tc>
          <w:tcPr>
            <w:tcW w:type="dxa" w:w="75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Hito</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center"/>
            </w:pPr>
            <w:r>
              <w:rPr>
                <w:rFonts w:ascii="Arial" w:cs="Arial" w:eastAsia="Arial" w:hAnsi="Arial"/>
                <w:b/>
                <w:bCs/>
                <w:color w:val="073763"/>
                <w:sz w:val="19"/>
                <w:szCs w:val="19"/>
              </w:rPr>
              <w:t xml:space="preserve">13-08-2026</w:t>
            </w:r>
          </w:p>
        </w:tc>
        <w:tc>
          <w:tcPr>
            <w:tcW w:type="dxa" w:w="75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Inicio del proyecto.</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center"/>
            </w:pPr>
            <w:r>
              <w:rPr>
                <w:rFonts w:ascii="Arial" w:cs="Arial" w:eastAsia="Arial" w:hAnsi="Arial"/>
                <w:b/>
                <w:bCs/>
                <w:color w:val="073763"/>
                <w:sz w:val="19"/>
                <w:szCs w:val="19"/>
              </w:rPr>
              <w:t xml:space="preserve">27-09-2026</w:t>
            </w:r>
          </w:p>
        </w:tc>
        <w:tc>
          <w:tcPr>
            <w:tcW w:type="dxa" w:w="75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Fase 0 completada: landing y formulario del piloto en producción, conectados a Azure.</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center"/>
            </w:pPr>
            <w:r>
              <w:rPr>
                <w:rFonts w:ascii="Arial" w:cs="Arial" w:eastAsia="Arial" w:hAnsi="Arial"/>
                <w:b/>
                <w:bCs/>
                <w:color w:val="073763"/>
                <w:sz w:val="19"/>
                <w:szCs w:val="19"/>
              </w:rPr>
              <w:t xml:space="preserve">16-10-2026</w:t>
            </w:r>
          </w:p>
        </w:tc>
        <w:tc>
          <w:tcPr>
            <w:tcW w:type="dxa" w:w="75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Fin del Sprint 1: registro, inicio de sesión y aislamiento entre empresas verificado con pruebas.</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center"/>
            </w:pPr>
            <w:r>
              <w:rPr>
                <w:rFonts w:ascii="Arial" w:cs="Arial" w:eastAsia="Arial" w:hAnsi="Arial"/>
                <w:b/>
                <w:bCs/>
                <w:color w:val="073763"/>
                <w:sz w:val="19"/>
                <w:szCs w:val="19"/>
              </w:rPr>
              <w:t xml:space="preserve">13-11-2026</w:t>
            </w:r>
          </w:p>
        </w:tc>
        <w:tc>
          <w:tcPr>
            <w:tcW w:type="dxa" w:w="75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Fin del Sprint 3 · Versión 1.0 (MVP): carga manual y con IA, roles y dashboard funcionando.</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center"/>
            </w:pPr>
            <w:r>
              <w:rPr>
                <w:rFonts w:ascii="Arial" w:cs="Arial" w:eastAsia="Arial" w:hAnsi="Arial"/>
                <w:b/>
                <w:bCs/>
                <w:color w:val="073763"/>
                <w:sz w:val="19"/>
                <w:szCs w:val="19"/>
              </w:rPr>
              <w:t xml:space="preserve">27-11-2026</w:t>
            </w:r>
          </w:p>
        </w:tc>
        <w:tc>
          <w:tcPr>
            <w:tcW w:type="dxa" w:w="75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Fin del Sprint 4: los tres flujos de carga (manual, foto/PDF y CSV/XLSX) funcionan de punta a punta.</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val="false"/>
              <w:spacing w:after="0" w:line="260"/>
              <w:jc w:val="center"/>
            </w:pPr>
            <w:r>
              <w:rPr>
                <w:rFonts w:ascii="Arial" w:cs="Arial" w:eastAsia="Arial" w:hAnsi="Arial"/>
                <w:b/>
                <w:bCs/>
                <w:color w:val="073763"/>
                <w:sz w:val="19"/>
                <w:szCs w:val="19"/>
              </w:rPr>
              <w:t xml:space="preserve">11-12-2026</w:t>
            </w:r>
          </w:p>
        </w:tc>
        <w:tc>
          <w:tcPr>
            <w:tcW w:type="dxa" w:w="75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b w:val="false"/>
                <w:bCs w:val="false"/>
                <w:color w:val="262626"/>
                <w:sz w:val="19"/>
                <w:szCs w:val="19"/>
              </w:rPr>
              <w:t xml:space="preserve">Fin del Sprint 5 · Versión 1.1: alcance de la versión 1 completo.</w:t>
            </w:r>
          </w:p>
        </w:tc>
      </w:tr>
    </w:tbl>
    <w:p>
      <w:pPr>
        <w:pStyle w:val="Heading1"/>
        <w:keepNext/>
        <w:spacing w:after="80" w:before="280"/>
      </w:pPr>
      <w:bookmarkStart w:name="_Toc6" w:id="6"/>
      <w:r>
        <w:rPr>
          <w:rFonts w:ascii="Arial" w:cs="Arial" w:eastAsia="Arial" w:hAnsi="Arial"/>
          <w:b/>
          <w:bCs/>
          <w:color w:val="073763"/>
          <w:sz w:val="30"/>
          <w:szCs w:val="30"/>
        </w:rPr>
        <w:t xml:space="preserve">6. Después del Capstone</w:t>
      </w:r>
      <w:bookmarkEnd w:id="6"/>
    </w:p>
    <w:p>
      <w:pPr>
        <w:keepNext/>
        <w:spacing w:after="120" w:line="300"/>
        <w:jc w:val="both"/>
      </w:pPr>
      <w:r>
        <w:rPr>
          <w:rFonts w:ascii="Arial" w:cs="Arial" w:eastAsia="Arial" w:hAnsi="Arial"/>
          <w:color w:val="262626"/>
          <w:sz w:val="21"/>
          <w:szCs w:val="21"/>
        </w:rPr>
        <w:t xml:space="preserve">Si el proyecto continúa como negocio, el roadmap sigue con estas etapas. No forman parte del alcance evaluado y no tienen fechas comprometidas.</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300"/>
        <w:gridCol w:w="6729"/>
      </w:tblGrid>
      <w:tr>
        <w:trPr>
          <w:tblHeader/>
        </w:trPr>
        <w:tc>
          <w:tcPr>
            <w:tcW w:type="dxa" w:w="23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Etapa</w:t>
            </w:r>
          </w:p>
        </w:tc>
        <w:tc>
          <w:tcPr>
            <w:tcW w:type="dxa" w:w="67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Contenido</w:t>
            </w:r>
          </w:p>
        </w:tc>
      </w:tr>
      <w:tr>
        <w:trPr>
          <w:cantSplit/>
        </w:trPr>
        <w:tc>
          <w:tcPr>
            <w:tcW w:type="dxa" w:w="2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Validación comercial</w:t>
            </w:r>
          </w:p>
        </w:tc>
        <w:tc>
          <w:tcPr>
            <w:tcW w:type="dxa" w:w="67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Onboarding de 2 o 3 PYMEs piloto (la captación ya comenzó con el formulario de la landing). Medir uso real: boletas procesadas por mes, costo de IA por empresa y fricciones del onboarding.</w:t>
            </w:r>
          </w:p>
        </w:tc>
      </w:tr>
      <w:tr>
        <w:trPr>
          <w:cantSplit/>
        </w:trPr>
        <w:tc>
          <w:tcPr>
            <w:tcW w:type="dxa" w:w="2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Monetización</w:t>
            </w:r>
          </w:p>
        </w:tc>
        <w:tc>
          <w:tcPr>
            <w:tcW w:type="dxa" w:w="67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Pasarela de pago, planes con límites por plan y facturación del servicio a los clientes.</w:t>
            </w:r>
          </w:p>
        </w:tc>
      </w:tr>
      <w:tr>
        <w:trPr>
          <w:cantSplit/>
        </w:trPr>
        <w:tc>
          <w:tcPr>
            <w:tcW w:type="dxa" w:w="2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val="false"/>
              <w:spacing w:after="0" w:line="260"/>
              <w:jc w:val="left"/>
            </w:pPr>
            <w:r>
              <w:rPr>
                <w:rFonts w:ascii="Arial" w:cs="Arial" w:eastAsia="Arial" w:hAnsi="Arial"/>
                <w:b/>
                <w:bCs/>
                <w:color w:val="073763"/>
                <w:sz w:val="19"/>
                <w:szCs w:val="19"/>
              </w:rPr>
              <w:t xml:space="preserve">Backlog futuro</w:t>
            </w:r>
          </w:p>
        </w:tc>
        <w:tc>
          <w:tcPr>
            <w:tcW w:type="dxa" w:w="67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b w:val="false"/>
                <w:bCs w:val="false"/>
                <w:color w:val="262626"/>
                <w:sz w:val="19"/>
                <w:szCs w:val="19"/>
              </w:rPr>
              <w:t xml:space="preserve">Integración con el SII, conciliación bancaria (open banking), alertas de presupuesto, plan multiempresa para contadores, envío automático de invitaciones, otras monedas y app empaquetada para tiendas.</w:t>
            </w:r>
          </w:p>
        </w:tc>
      </w:tr>
    </w:tbl>
    <w:p>
      <w:pPr>
        <w:pStyle w:val="Heading1"/>
        <w:keepNext/>
        <w:spacing w:after="80" w:before="280"/>
      </w:pPr>
      <w:bookmarkStart w:name="_Toc7" w:id="7"/>
      <w:r>
        <w:rPr>
          <w:rFonts w:ascii="Arial" w:cs="Arial" w:eastAsia="Arial" w:hAnsi="Arial"/>
          <w:b/>
          <w:bCs/>
          <w:color w:val="073763"/>
          <w:sz w:val="30"/>
          <w:szCs w:val="30"/>
        </w:rPr>
        <w:t xml:space="preserve">7. Supuestos y riesgos del plan</w:t>
      </w:r>
      <w:bookmarkEnd w:id="7"/>
    </w:p>
    <w:p>
      <w:pPr>
        <w:pStyle w:val="Heading2"/>
        <w:keepNext/>
        <w:spacing w:after="60" w:before="200"/>
      </w:pPr>
      <w:r>
        <w:rPr>
          <w:rFonts w:ascii="Arial" w:cs="Arial" w:eastAsia="Arial" w:hAnsi="Arial"/>
          <w:b/>
          <w:bCs/>
          <w:color w:val="073763"/>
          <w:sz w:val="23"/>
          <w:szCs w:val="23"/>
        </w:rPr>
        <w:t xml:space="preserve">Supuestos</w:t>
      </w:r>
    </w:p>
    <w:p>
      <w:pPr>
        <w:pStyle w:val="ListParagraph"/>
        <w:numPr>
          <w:ilvl w:val="0"/>
          <w:numId w:val="2"/>
        </w:numPr>
        <w:spacing w:after="60" w:line="290"/>
      </w:pPr>
      <w:r>
        <w:rPr>
          <w:rFonts w:ascii="Arial" w:cs="Arial" w:eastAsia="Arial" w:hAnsi="Arial"/>
          <w:color w:val="262626"/>
          <w:sz w:val="21"/>
          <w:szCs w:val="21"/>
        </w:rPr>
        <w:t xml:space="preserve">Sprints de dos semanas (el Sprint 1, de una semana) con un desarrollador; capacidad estimada de 20 story points por sprint de dos semanas.</w:t>
      </w:r>
    </w:p>
    <w:p>
      <w:pPr>
        <w:pStyle w:val="ListParagraph"/>
        <w:numPr>
          <w:ilvl w:val="0"/>
          <w:numId w:val="2"/>
        </w:numPr>
        <w:spacing w:after="60" w:line="290"/>
      </w:pPr>
      <w:r>
        <w:rPr>
          <w:rFonts w:ascii="Arial" w:cs="Arial" w:eastAsia="Arial" w:hAnsi="Arial"/>
          <w:color w:val="262626"/>
          <w:sz w:val="21"/>
          <w:szCs w:val="21"/>
        </w:rPr>
        <w:t xml:space="preserve">Las historias de un sprint dependen de las anteriores (por ejemplo, ningún movimiento se registra sin empresa, roles y aislamiento), por lo que el orden de los sprints no se altera sin revisar dependencias.</w:t>
      </w:r>
    </w:p>
    <w:p>
      <w:pPr>
        <w:pStyle w:val="ListParagraph"/>
        <w:numPr>
          <w:ilvl w:val="0"/>
          <w:numId w:val="2"/>
        </w:numPr>
        <w:spacing w:after="60" w:line="290"/>
      </w:pPr>
      <w:r>
        <w:rPr>
          <w:rFonts w:ascii="Arial" w:cs="Arial" w:eastAsia="Arial" w:hAnsi="Arial"/>
          <w:color w:val="262626"/>
          <w:sz w:val="21"/>
          <w:szCs w:val="21"/>
        </w:rPr>
        <w:t xml:space="preserve">Los servicios de Azure for Students se mantienen disponibles durante todo el semestre.</w:t>
      </w:r>
    </w:p>
    <w:p>
      <w:pPr>
        <w:pStyle w:val="Heading2"/>
        <w:keepNext/>
        <w:spacing w:after="60" w:before="200"/>
      </w:pPr>
      <w:r>
        <w:rPr>
          <w:rFonts w:ascii="Arial" w:cs="Arial" w:eastAsia="Arial" w:hAnsi="Arial"/>
          <w:b/>
          <w:bCs/>
          <w:color w:val="073763"/>
          <w:sz w:val="23"/>
          <w:szCs w:val="23"/>
        </w:rPr>
        <w:t xml:space="preserve">Riesgos y cómo se manejan</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3000"/>
        <w:gridCol w:w="6029"/>
      </w:tblGrid>
      <w:tr>
        <w:trPr>
          <w:tblHeader/>
        </w:trPr>
        <w:tc>
          <w:tcPr>
            <w:tcW w:type="dxa" w:w="30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Riesgo</w:t>
            </w:r>
          </w:p>
        </w:tc>
        <w:tc>
          <w:tcPr>
            <w:tcW w:type="dxa" w:w="60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FFFFFF"/>
                <w:sz w:val="19"/>
                <w:szCs w:val="19"/>
              </w:rPr>
              <w:t xml:space="preserve">Respuesta del roadmap</w:t>
            </w:r>
          </w:p>
        </w:tc>
      </w:tr>
      <w:tr>
        <w:trPr>
          <w:cantSplit/>
        </w:trPr>
        <w:tc>
          <w:tcPr>
            <w:tcW w:type="dxa" w:w="30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Un sprint no se completa</w:t>
            </w:r>
          </w:p>
        </w:tc>
        <w:tc>
          <w:tcPr>
            <w:tcW w:type="dxa" w:w="60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Las historias pendientes pasan al sprint siguiente y el Product Owner decide qué historia de prioridad baja (HU13 o HU15) se posterga. El Sprint 1, por durar una semana, es el de mayor riesgo: si algo queda pendiente, se prioriza al inicio del Sprint 2.</w:t>
            </w:r>
          </w:p>
        </w:tc>
      </w:tr>
      <w:tr>
        <w:trPr>
          <w:cantSplit/>
        </w:trPr>
        <w:tc>
          <w:tcPr>
            <w:tcW w:type="dxa" w:w="30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spacing w:after="0" w:line="260"/>
              <w:jc w:val="left"/>
            </w:pPr>
            <w:r>
              <w:rPr>
                <w:rFonts w:ascii="Arial" w:cs="Arial" w:eastAsia="Arial" w:hAnsi="Arial"/>
                <w:b/>
                <w:bCs/>
                <w:color w:val="073763"/>
                <w:sz w:val="19"/>
                <w:szCs w:val="19"/>
              </w:rPr>
              <w:t xml:space="preserve">La extracción con IA toma más de lo previsto</w:t>
            </w:r>
          </w:p>
        </w:tc>
        <w:tc>
          <w:tcPr>
            <w:tcW w:type="dxa" w:w="60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spacing w:after="0" w:line="260"/>
              <w:jc w:val="left"/>
            </w:pPr>
            <w:r>
              <w:rPr>
                <w:rFonts w:ascii="Arial" w:cs="Arial" w:eastAsia="Arial" w:hAnsi="Arial"/>
                <w:b w:val="false"/>
                <w:bCs w:val="false"/>
                <w:color w:val="262626"/>
                <w:sz w:val="19"/>
                <w:szCs w:val="19"/>
              </w:rPr>
              <w:t xml:space="preserve">El Sprint 3 tiene menor carga (15 puntos) para absorberlo; la carga manual del Sprint 2 sigue cubriendo el registro de movimientos.</w:t>
            </w:r>
          </w:p>
        </w:tc>
      </w:tr>
      <w:tr>
        <w:trPr>
          <w:cantSplit/>
        </w:trPr>
        <w:tc>
          <w:tcPr>
            <w:tcW w:type="dxa" w:w="30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vAlign w:val="top"/>
          </w:tcPr>
          <w:p>
            <w:pPr>
              <w:keepNext w:val="false"/>
              <w:spacing w:after="0" w:line="260"/>
              <w:jc w:val="left"/>
            </w:pPr>
            <w:r>
              <w:rPr>
                <w:rFonts w:ascii="Arial" w:cs="Arial" w:eastAsia="Arial" w:hAnsi="Arial"/>
                <w:b/>
                <w:bCs/>
                <w:color w:val="073763"/>
                <w:sz w:val="19"/>
                <w:szCs w:val="19"/>
              </w:rPr>
              <w:t xml:space="preserve">Cambios en las restricciones de la cuenta Azure de Duoc</w:t>
            </w:r>
          </w:p>
        </w:tc>
        <w:tc>
          <w:tcPr>
            <w:tcW w:type="dxa" w:w="6029"/>
            <w:tcBorders>
              <w:top w:val="single" w:color="D9E1EC" w:sz="4"/>
              <w:left w:val="single" w:color="D9E1EC" w:sz="4"/>
              <w:bottom w:val="single" w:color="D9E1EC" w:sz="4"/>
              <w:right w:val="single" w:color="D9E1EC" w:sz="4"/>
            </w:tcBorders>
            <w:tcMar>
              <w:top w:type="dxa" w:w="70"/>
              <w:left w:type="dxa" w:w="100"/>
              <w:bottom w:type="dxa" w:w="70"/>
              <w:right w:type="dxa" w:w="100"/>
            </w:tcMar>
            <w:vAlign w:val="top"/>
          </w:tcPr>
          <w:p>
            <w:pPr>
              <w:keepNext w:val="false"/>
              <w:spacing w:after="0" w:line="260"/>
              <w:jc w:val="left"/>
            </w:pPr>
            <w:r>
              <w:rPr>
                <w:rFonts w:ascii="Arial" w:cs="Arial" w:eastAsia="Arial" w:hAnsi="Arial"/>
                <w:b w:val="false"/>
                <w:bCs w:val="false"/>
                <w:color w:val="262626"/>
                <w:sz w:val="19"/>
                <w:szCs w:val="19"/>
              </w:rPr>
              <w:t xml:space="preserve">La arquitectura ya separa identidad (cuenta propia) y frontend (Netlify), lo que reduce el impacto sobre el calendario.</w:t>
            </w:r>
          </w:p>
        </w:tc>
      </w:tr>
    </w:tbl>
    <w:sectPr>
      <w:headerReference w:type="default" r:id="rId6"/>
      <w:footerReference w:type="default" r:id="rId7"/>
      <w:pgSz w:w="11909" w:h="16834" w:orient="portrait"/>
      <w:pgMar w:top="1440" w:right="1440" w:bottom="1440" w:left="1440"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5"/>
        <w:szCs w:val="15"/>
      </w:rPr>
      <w:t xml:space="preserve">Product Roadmap · KontadorIA · Página </w:t>
    </w:r>
    <w:r>
      <w:rPr>
        <w:rFonts w:ascii="Arial" w:cs="Arial" w:eastAsia="Arial" w:hAnsi="Arial"/>
        <w:color w:val="073763"/>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3763" w:sz="6" w:space="4"/>
      </w:pBdr>
      <w:tabs>
        <w:tab w:val="right" w:pos="9029"/>
      </w:tabs>
    </w:pPr>
    <w:r>
      <w:drawing>
        <wp:inline distT="0" distB="0" distL="0" distR="0">
          <wp:extent cx="9144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r>
      <w:rPr>
        <w:rFonts w:ascii="Arial" w:cs="Arial" w:eastAsia="Arial" w:hAnsi="Arial"/>
        <w:color w:val="7F7F7F"/>
        <w:sz w:val="15"/>
        <w:szCs w:val="15"/>
      </w:rPr>
      <w:t xml:space="preserve">	Instituto Profesional DuocUC</w:t>
    </w:r>
  </w:p>
  <w:p>
    <w:pPr>
      <w:spacing w:after="0"/>
      <w:jc w:val="right"/>
    </w:pPr>
    <w:r>
      <w:rPr>
        <w:rFonts w:ascii="Arial" w:cs="Arial" w:eastAsia="Arial" w:hAnsi="Arial"/>
        <w:color w:val="7F7F7F"/>
        <w:sz w:val="15"/>
        <w:szCs w:val="15"/>
      </w:rPr>
      <w:t xml:space="preserve">Escuela de Informática y Telecomunicaciones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73763"/>
      <w:sz w:val="30"/>
      <w:szCs w:val="30"/>
    </w:rPr>
  </w:style>
  <w:style w:type="paragraph" w:styleId="Heading2">
    <w:name w:val="Heading 2"/>
    <w:basedOn w:val="Normal"/>
    <w:next w:val="Normal"/>
    <w:qFormat/>
    <w:pPr>
      <w:outlineLvl w:val="1"/>
    </w:pPr>
    <w:rPr>
      <w:rFonts w:ascii="Arial" w:cs="Arial" w:eastAsia="Arial" w:hAnsi="Arial"/>
      <w:b/>
      <w:bCs/>
      <w:color w:val="07376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41fb27ebeb7b62be9da1a50c6e9fb15bc9e99b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Roadmap — KontadorIA</dc:title>
  <dc:creator>Equipo KontadorIA</dc:creator>
  <cp:lastModifiedBy>Un-named</cp:lastModifiedBy>
  <cp:revision>1</cp:revision>
  <dcterms:created xsi:type="dcterms:W3CDTF">2026-10-11T19:41:36.634Z</dcterms:created>
  <dcterms:modified xsi:type="dcterms:W3CDTF">2026-10-11T19:41:36.634Z</dcterms:modified>
</cp:coreProperties>
</file>

<file path=docProps/custom.xml><?xml version="1.0" encoding="utf-8"?>
<Properties xmlns="http://schemas.openxmlformats.org/officeDocument/2006/custom-properties" xmlns:vt="http://schemas.openxmlformats.org/officeDocument/2006/docPropsVTypes"/>
</file>