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6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44"/>
          <w:szCs w:val="44"/>
          <w:rtl w:val="0"/>
        </w:rPr>
        <w:t xml:space="preserve">Ficha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9a227"/>
          <w:sz w:val="24"/>
          <w:szCs w:val="24"/>
          <w:rtl w:val="0"/>
        </w:rPr>
        <w:t xml:space="preserve">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6"/>
          <w:szCs w:val="26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26"/>
          <w:szCs w:val="26"/>
          <w:rtl w:val="0"/>
        </w:rPr>
        <w:t xml:space="preserve"> · Sistema de Finanzas para PYMEs</w:t>
      </w:r>
      <w:r w:rsidDel="00000000" w:rsidR="00000000" w:rsidRPr="00000000">
        <w:rPr>
          <w:rtl w:val="0"/>
        </w:rPr>
      </w:r>
    </w:p>
    <w:tbl>
      <w:tblPr>
        <w:tblStyle w:val="Table1"/>
        <w:tblW w:w="6200.0" w:type="dxa"/>
        <w:jc w:val="center"/>
        <w:tblLayout w:type="fixed"/>
        <w:tblLook w:val="0000"/>
      </w:tblPr>
      <w:tblGrid>
        <w:gridCol w:w="1800"/>
        <w:gridCol w:w="4400"/>
        <w:tblGridChange w:id="0">
          <w:tblGrid>
            <w:gridCol w:w="180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005D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Cindy Contador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Antonio Varas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Diego Gallardo · Scrum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Vicente Hermosilla · Product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Felipe Quezada ·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13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73763" w:space="4" w:sz="8" w:val="single"/>
        </w:pBdr>
        <w:spacing w:after="20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Índice</w:t>
      </w:r>
      <w:hyperlink w:anchor="_heading=h.chqpq5hwd53b">
        <w:r w:rsidDel="00000000" w:rsidR="00000000" w:rsidRPr="00000000">
          <w:rPr>
            <w:rtl w:val="0"/>
          </w:rPr>
          <w:tab/>
        </w:r>
      </w:hyperlink>
      <w:r w:rsidDel="00000000" w:rsidR="00000000" w:rsidRPr="00000000">
        <w:rPr>
          <w:rtl w:val="0"/>
        </w:rPr>
      </w:r>
    </w:p>
    <w:sdt>
      <w:sdtPr>
        <w:id w:val="-5934127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lw0v4lre8gh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Datos del proyecto</w:t>
              <w:tab/>
            </w:r>
          </w:hyperlink>
          <w:r w:rsidDel="00000000" w:rsidR="00000000" w:rsidRPr="00000000">
            <w:fldChar w:fldCharType="begin"/>
            <w:instrText xml:space="preserve"> PAGEREF _heading=h.lw0v4lre8ghv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heading=h.1n4dhk4i9tp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Equipo y responsabilidades</w:t>
              <w:tab/>
            </w:r>
          </w:hyperlink>
          <w:r w:rsidDel="00000000" w:rsidR="00000000" w:rsidRPr="00000000">
            <w:fldChar w:fldCharType="begin"/>
            <w:instrText xml:space="preserve"> PAGEREF _heading=h.1n4dhk4i9tpz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heading=h.1qiqd7qznx2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Problema</w:t>
              <w:tab/>
            </w:r>
          </w:hyperlink>
          <w:r w:rsidDel="00000000" w:rsidR="00000000" w:rsidRPr="00000000">
            <w:fldChar w:fldCharType="begin"/>
            <w:instrText xml:space="preserve"> PAGEREF _heading=h.1qiqd7qznx2c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heading=h.pujwbjhhadq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Solución</w:t>
              <w:tab/>
            </w:r>
          </w:hyperlink>
          <w:r w:rsidDel="00000000" w:rsidR="00000000" w:rsidRPr="00000000">
            <w:fldChar w:fldCharType="begin"/>
            <w:instrText xml:space="preserve"> PAGEREF _heading=h.pujwbjhhadqk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heading=h.wq62sknsfnw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del proyecto</w:t>
              <w:tab/>
            </w:r>
          </w:hyperlink>
          <w:r w:rsidDel="00000000" w:rsidR="00000000" w:rsidRPr="00000000">
            <w:fldChar w:fldCharType="begin"/>
            <w:instrText xml:space="preserve"> PAGEREF _heading=h.wq62sknsfnw6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heading=h.82lg8es6uhq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Alcance</w:t>
              <w:tab/>
            </w:r>
          </w:hyperlink>
          <w:r w:rsidDel="00000000" w:rsidR="00000000" w:rsidRPr="00000000">
            <w:fldChar w:fldCharType="begin"/>
            <w:instrText xml:space="preserve"> PAGEREF _heading=h.82lg8es6uhqj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heading=h.8r0q6328m3a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Usuarios</w:t>
              <w:tab/>
            </w:r>
          </w:hyperlink>
          <w:r w:rsidDel="00000000" w:rsidR="00000000" w:rsidRPr="00000000">
            <w:fldChar w:fldCharType="begin"/>
            <w:instrText xml:space="preserve"> PAGEREF _heading=h.8r0q6328m3ah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heading=h.4bqryptf7a9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Tecnología</w:t>
              <w:tab/>
            </w:r>
          </w:hyperlink>
          <w:r w:rsidDel="00000000" w:rsidR="00000000" w:rsidRPr="00000000">
            <w:fldChar w:fldCharType="begin"/>
            <w:instrText xml:space="preserve"> PAGEREF _heading=h.4bqryptf7a9f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heading=h.dynqacihgao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Presupuesto</w:t>
              <w:tab/>
            </w:r>
          </w:hyperlink>
          <w:r w:rsidDel="00000000" w:rsidR="00000000" w:rsidRPr="00000000">
            <w:fldChar w:fldCharType="begin"/>
            <w:instrText xml:space="preserve"> PAGEREF _heading=h.dynqacihgaoy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heading=h.kes0kjy6g7q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Riesgos principales</w:t>
              <w:tab/>
            </w:r>
          </w:hyperlink>
          <w:r w:rsidDel="00000000" w:rsidR="00000000" w:rsidRPr="00000000">
            <w:fldChar w:fldCharType="begin"/>
            <w:instrText xml:space="preserve"> PAGEREF _heading=h.kes0kjy6g7qc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heading=h.chqpq5hwd53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Indicadores de éxito</w:t>
              <w:tab/>
            </w:r>
          </w:hyperlink>
          <w:r w:rsidDel="00000000" w:rsidR="00000000" w:rsidRPr="00000000">
            <w:fldChar w:fldCharType="begin"/>
            <w:instrText xml:space="preserve"> PAGEREF _heading=h.chqpq5hwd53b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Bdr>
          <w:bottom w:color="d3dae5" w:space="6" w:sz="4" w:val="single"/>
        </w:pBdr>
        <w:spacing w:after="120" w:before="120" w:line="28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spacing w:after="180" w:before="400" w:lineRule="auto"/>
        <w:rPr/>
      </w:pPr>
      <w:bookmarkStart w:colFirst="0" w:colLast="0" w:name="_heading=h.lw0v4lre8ghv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1. Datos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Resumen ejecutivo de 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: quién lo desarrolla, en qué plazo, qué problema </w:t>
      </w:r>
      <w:r w:rsidDel="00000000" w:rsidR="00000000" w:rsidRPr="00000000">
        <w:rPr>
          <w:rtl w:val="0"/>
        </w:rPr>
        <w:t xml:space="preserve">abordar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y con qué alcance, recursos y criterios de éxito se evaluará.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Layout w:type="fixed"/>
        <w:tblLook w:val="0000"/>
      </w:tblPr>
      <w:tblGrid>
        <w:gridCol w:w="2600"/>
        <w:gridCol w:w="6429"/>
        <w:tblGridChange w:id="0">
          <w:tblGrid>
            <w:gridCol w:w="2600"/>
            <w:gridCol w:w="64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KontadorIA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Sin sponsor externo. Proyecto autogestionado por el equipo: el producto está pensado para ofrecerse a múltiples PYMEs, no para un cliente único que lo encargue.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Vicente Hermosilla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Diego Gallardo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13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11 de diciembre de 2026 (fin del Sprint 5 y entrega de la versión 1.1)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spacing w:after="180" w:before="400" w:lineRule="auto"/>
        <w:rPr/>
      </w:pPr>
      <w:bookmarkStart w:colFirst="0" w:colLast="0" w:name="_heading=h.1n4dhk4i9tpz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2. Equipo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equipo trabaja con Scrum. Felipe concentra el desarrollo técnico, Diego facilita el proceso y Vicente prioriza el producto según las necesidades del negocio.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Layout w:type="fixed"/>
        <w:tblLook w:val="0000"/>
      </w:tblPr>
      <w:tblGrid>
        <w:gridCol w:w="3600"/>
        <w:gridCol w:w="2800"/>
        <w:gridCol w:w="2629"/>
        <w:tblGridChange w:id="0">
          <w:tblGrid>
            <w:gridCol w:w="3600"/>
            <w:gridCol w:w="2800"/>
            <w:gridCol w:w="26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Backend y Azure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Base de datos y Row-Level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Facilitación del proceso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Diego Gallardo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Priorización del backlog y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Vicente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1"/>
        <w:spacing w:after="180" w:before="400" w:lineRule="auto"/>
        <w:rPr/>
      </w:pPr>
      <w:bookmarkStart w:colFirst="0" w:colLast="0" w:name="_heading=h.1qiqd7qznx2c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3.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Las PYMEs chilenas pequeñas (de 1 a 20 personas y sin contador interno) suelen llevar sus gastos e ingresos en Excel, WhatsApp o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resultado típico son boletas que se pierden o se registran tarde, un contador externo que recibe la información desordenada a fin de mes y un dueño que no sabe en qué se está gastando el dinero mientras el mes transcurre.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1"/>
        <w:spacing w:after="180" w:before="400" w:lineRule="auto"/>
        <w:rPr/>
      </w:pPr>
      <w:bookmarkStart w:colFirst="0" w:colLast="0" w:name="_heading=h.pujwbjhhadqk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4.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es una aplicación web donde una PYME registra sus gastos e ingresos de tres formas: manualmente, cargando una foto o PDF de la boleta (la inteligencia artificial extrae los datos y el usuario los confirma) o importando el Excel o CSV que ya utiliza.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La plataforma es multiempresa desde su diseño: los datos de cada empresa quedan aislados en la propia base de datos, y cada usuario accede según su rol (dueño, contador externo o empleado). Así la PYME no renuncia a lo que ya tiene ni enfrenta la curva de aprendizaje de un software contable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spacing w:after="180" w:before="400" w:lineRule="auto"/>
        <w:rPr/>
      </w:pPr>
      <w:bookmarkStart w:colFirst="0" w:colLast="0" w:name="_heading=h.wq62sknsfnw6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5. Objetivos del proyecto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Layout w:type="fixed"/>
        <w:tblLook w:val="0000"/>
      </w:tblPr>
      <w:tblGrid>
        <w:gridCol w:w="700"/>
        <w:gridCol w:w="8329"/>
        <w:tblGridChange w:id="0">
          <w:tblGrid>
            <w:gridCol w:w="700"/>
            <w:gridCol w:w="83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Que las PYMEs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gestionen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 sus finanzas de forma simple, como alternativa al control manual en Excel o al software contable tradicional, sin necesidad de conocimientos contables.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Reducir el tiempo y los errores del registro de boletas y facturas, y evitar que se pierdan o se registren tarde.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Que cada persona de la empresa (dueño, contador y empleados) participe en la gestión financiera según su función, viendo solo lo que le corresponde.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Proteger la información financiera de cada empresa frente a cualquier acceso de otras empresas, con un costo de operación bajo y predecible.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1"/>
        <w:spacing w:after="180" w:before="400" w:lineRule="auto"/>
        <w:rPr/>
      </w:pPr>
      <w:bookmarkStart w:colFirst="0" w:colLast="0" w:name="_heading=h.82lg8es6uhqj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6.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alcance corresponde a la versión 1, que se entrega dentro del calendario del Capstone.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Layout w:type="fixed"/>
        <w:tblLook w:val="0000"/>
      </w:tblPr>
      <w:tblGrid>
        <w:gridCol w:w="4515"/>
        <w:gridCol w:w="4514"/>
        <w:tblGridChange w:id="0">
          <w:tblGrid>
            <w:gridCol w:w="4515"/>
            <w:gridCol w:w="451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Incluido en la versión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Fuera de alcance de la versión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Registro manual de ingresos y gastos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Integración con el SII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Carga de boletas y facturas por foto o PDF, con extracción por IA y validación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Sincronización con bancos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Importación de CSV/XLSX con plantilla, validación por fila y vista previa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Montos en otras monedas (solo CLP)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Multiempresa con Row-Level Security y tres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Aplicación móvil nativa (se usa web responsive / PWA)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Categorías, presupuestos, consultas, exportación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Envío automático de correos de invitación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1"/>
        <w:spacing w:after="180" w:before="400" w:lineRule="auto"/>
        <w:rPr/>
      </w:pPr>
      <w:bookmarkStart w:colFirst="0" w:colLast="0" w:name="_heading=h.8r0q6328m3ah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7. Usuarios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Layout w:type="fixed"/>
        <w:tblLook w:val="0000"/>
      </w:tblPr>
      <w:tblGrid>
        <w:gridCol w:w="2300"/>
        <w:gridCol w:w="3929"/>
        <w:gridCol w:w="2800"/>
        <w:tblGridChange w:id="0">
          <w:tblGrid>
            <w:gridCol w:w="2300"/>
            <w:gridCol w:w="3929"/>
            <w:gridCol w:w="2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no puede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Dueño /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Gestiona usuarios,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empresa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, categorías y presupuestos. Registra, importa, consulta y exporta todos los movimientos.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Contador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Consulta todos los movimientos de la empresa, importa CSV/XLSX y exporta reportes. Puede atender a varias empresas.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Gestionar usuarios o la configuración de la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Registra los gastos e ingresos del día a día, en forma manual o por foto/PDF.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Ver movimientos de otros usuarios, reportes globales, importar o exportar.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1"/>
        <w:spacing w:after="180" w:before="400" w:lineRule="auto"/>
        <w:rPr/>
      </w:pPr>
      <w:bookmarkStart w:colFirst="0" w:colLast="0" w:name="_heading=h.4bqryptf7a9f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8. Tecnología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La plataforma se construye principalmente sobre servicios gestionados de Microsoft Azure. El detalle y la justificación de cada elección están en el Documento de Arquitectura de Software.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Layout w:type="fixed"/>
        <w:tblLook w:val="0000"/>
      </w:tblPr>
      <w:tblGrid>
        <w:gridCol w:w="2800"/>
        <w:gridCol w:w="3500"/>
        <w:gridCol w:w="2729"/>
        <w:tblGridChange w:id="0">
          <w:tblGrid>
            <w:gridCol w:w="2800"/>
            <w:gridCol w:w="3500"/>
            <w:gridCol w:w="27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Dónde se ejecuta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React + Vite (PWA)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Netlify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Functions (Flex Consumption)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Base de datos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SQL Database + Row-Level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for Students (Duoc)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Almacenamiento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Blob Storage, un contenedor por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for Students (Duoc)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AI Document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for Students (Duoc)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Microsoft Entra External ID + MSAL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Azure, cuenta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Application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for Students (Duoc)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Control de versiones y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GitHub +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1"/>
        <w:spacing w:after="180" w:before="400" w:lineRule="auto"/>
        <w:rPr/>
      </w:pPr>
      <w:bookmarkStart w:colFirst="0" w:colLast="0" w:name="_heading=h.dynqacihgaoy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9. 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Durante el Capstone la plataforma opera con los créditos y niveles gratuitos de Azure for Students. La siguiente tabla proyecta el costo mensual de un despliegue comercial con la arquitectura actual, en un escenario de 10 PYMEs, 30 usuarios activos y 1.000 boletas procesadas con IA al mes.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Layout w:type="fixed"/>
        <w:tblLook w:val="0000"/>
      </w:tblPr>
      <w:tblGrid>
        <w:gridCol w:w="2900"/>
        <w:gridCol w:w="4229"/>
        <w:gridCol w:w="1900"/>
        <w:tblGridChange w:id="0">
          <w:tblGrid>
            <w:gridCol w:w="2900"/>
            <w:gridCol w:w="4229"/>
            <w:gridCol w:w="19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mensual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Netlify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Hosting del frontend, plan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Azure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Flex Consumption, dentro de la cuota gratuita de ejecuciones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Azure SQL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Standard S0 (10 DTU, 250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$14,72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Azure Blob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Uso general v2, LRS, nivel Hot: 20 GB de documentos y 1 GB del runtime de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Azure AI Document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S0, 1.000 páginas al mes (US$ 0,01 por página)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$10,00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Microsoft Entra External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Gratuito hasta 50.000 usuarios activos al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Application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Dentro de la cuota gratuita de ingesta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GitHub y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Plan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Total mensual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Sin costos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$25,41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costo que crece con el uso es Document Intelligence, que cobra por cada página procesada. La importación de CSV/XLSX no tiene costo marginal, por lo que es la vía más económica para cargar grandes volúmenes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88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17"/>
          <w:szCs w:val="17"/>
          <w:rtl w:val="0"/>
        </w:rPr>
        <w:t xml:space="preserve">Fuente: Azure Pricing Calculator, cotización del 13-10-2026 (precios de referencia en USD, región West US). Con el dólar a $976,88, el total equivale a unos $24.820 CLP al mes. Netlify, Entra External ID, Application Insights y GitHub según sus niveles gratuitos. Detalle y supuestos en el Presupuesto Estimado v2.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1"/>
        <w:spacing w:after="180" w:before="400" w:lineRule="auto"/>
        <w:rPr/>
      </w:pPr>
      <w:bookmarkStart w:colFirst="0" w:colLast="0" w:name="_heading=h.kes0kjy6g7qc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10. Riesgos principales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Layout w:type="fixed"/>
        <w:tblLook w:val="0000"/>
      </w:tblPr>
      <w:tblGrid>
        <w:gridCol w:w="3300"/>
        <w:gridCol w:w="1000"/>
        <w:gridCol w:w="4729"/>
        <w:tblGridChange w:id="0">
          <w:tblGrid>
            <w:gridCol w:w="3300"/>
            <w:gridCol w:w="1000"/>
            <w:gridCol w:w="47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Fuga de datos entre empresas por una política RLS mal escrita o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SESSION_CONTEXT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 reutilizado entre conexiones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RLS en la base de datos,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SESSION_CONTEXT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 fijado en cada solicitud a partir del token validado y pruebas de aislamiento entre empresas y entre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Errores de extracción de la IA en documentos borrosos o en formatos no reconocidos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El usuario revisa y confirma los datos antes de guardar; si el documento no se puede leer, se ofrece el formulario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Archivos CSV/XLSX mal formados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Plantilla fija descargable, validación de cada fila y vista previa antes de confirmar la importación.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Restricciones de la cuenta Azure for Students de Duoc (regiones permitidas, creación de tenant, App Registrations)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Ya se presentó y se resolvió: frontend en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Netlify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, identidad en una cuenta Azure separada y despliegue con Managed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Retrasos frente al calendario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Alcance de la versión 1 cerrado y backlog priorizado por el Product Owner; lo no esencial pasa al backlog futuro.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1"/>
        <w:spacing w:after="180" w:before="400" w:lineRule="auto"/>
        <w:rPr/>
      </w:pPr>
      <w:bookmarkStart w:colFirst="0" w:colLast="0" w:name="_heading=h.chqpq5hwd53b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11. Indicadores de éxito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Layout w:type="fixed"/>
        <w:tblLook w:val="0000"/>
      </w:tblPr>
      <w:tblGrid>
        <w:gridCol w:w="2800"/>
        <w:gridCol w:w="6229"/>
        <w:tblGridChange w:id="0">
          <w:tblGrid>
            <w:gridCol w:w="2800"/>
            <w:gridCol w:w="62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Aislamiento multiempresa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Un usuario de la empresa A no obtiene datos de la empresa B bajo ningún rol, ni siquiera llamando a la API directamente.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Flujos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Los tres flujos (manual, foto/PDF y CSV/XLSX) funcionan de punta a punta, con confirmación del usuario antes de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Los permisos de administrador, contador y empleado se cumplen en la interfaz, en la API y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Las historias comprometidas para la versión 1 cumplen sus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Costo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La operación se mantiene dentro del presupuesto mensual proyectado.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600" w:footer="6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Ficha del Proyecto · </w:t>
    </w: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KontadorIA</w:t>
    </w: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 · Página </w:t>
    </w:r>
    <w:r w:rsidDel="00000000" w:rsidR="00000000" w:rsidRPr="00000000">
      <w:rPr>
        <w:rFonts w:ascii="Arial" w:cs="Arial" w:eastAsia="Arial" w:hAnsi="Arial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1"/>
      <w:tblW w:w="902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000"/>
      <w:gridCol w:w="7029"/>
      <w:tblGridChange w:id="0">
        <w:tblGrid>
          <w:gridCol w:w="2000"/>
          <w:gridCol w:w="702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73763" w:space="0" w:sz="6" w:val="single"/>
            <w:right w:color="000000" w:space="0" w:sz="0" w:val="nil"/>
          </w:tcBorders>
          <w:tcMar>
            <w:bottom w:w="80.0" w:type="dxa"/>
          </w:tcMar>
          <w:vAlign w:val="center"/>
        </w:tcPr>
        <w:p w:rsidR="00000000" w:rsidDel="00000000" w:rsidP="00000000" w:rsidRDefault="00000000" w:rsidRPr="00000000" w14:paraId="000000DE">
          <w:pPr>
            <w:spacing w:after="0" w:lineRule="auto"/>
            <w:rPr/>
          </w:pPr>
          <w:r w:rsidDel="00000000" w:rsidR="00000000" w:rsidRPr="00000000">
            <w:rPr/>
            <w:drawing>
              <wp:inline distB="0" distT="0" distL="0" distR="0">
                <wp:extent cx="1123950" cy="27622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73763" w:space="0" w:sz="6" w:val="single"/>
            <w:right w:color="000000" w:space="0" w:sz="0" w:val="nil"/>
          </w:tcBorders>
          <w:tcMar>
            <w:bottom w:w="80.0" w:type="dxa"/>
          </w:tcMar>
          <w:vAlign w:val="center"/>
        </w:tcPr>
        <w:p w:rsidR="00000000" w:rsidDel="00000000" w:rsidP="00000000" w:rsidRDefault="00000000" w:rsidRPr="00000000" w14:paraId="000000DF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95959"/>
              <w:sz w:val="16"/>
              <w:szCs w:val="16"/>
              <w:rtl w:val="0"/>
            </w:rPr>
            <w:t xml:space="preserve">Instituto Profesional DuocUC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95959"/>
              <w:sz w:val="16"/>
              <w:szCs w:val="16"/>
              <w:rtl w:val="0"/>
            </w:rPr>
            <w:t xml:space="preserve">Escuela de Informática y Telecomunicaciones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8bPe9XRPvdNOyaWPi3mMIn7dDg==">CgMxLjAyDmgubHcwdjRscmU4Z2h2Mg5oLjFuNGRoazRpOXRwejIOaC4xcWlxZDdxem54MmMyDmgucHVqd2JqaGhhZHFrMg5oLndxNjJza25zZm53NjIOaC44MmxnOGVzNnVocWoyDmguOHIwcTYzMjhtM2FoMg5oLjRicXJ5cHRmN2E5ZjIOaC5keW5xYWNpaGdhb3kyDmgua2VzMGtqeTZnN3FjMg5oLmNocXBxNWh3ZDUzYjgAciExblZlaGRwaW9tOHhGZHlpa2pBRXF4Z0JzV1ZRUEEya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