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44"/>
          <w:szCs w:val="44"/>
          <w:rtl w:val="0"/>
        </w:rPr>
        <w:t xml:space="preserve">Acta de Constitución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9a227"/>
          <w:sz w:val="22"/>
          <w:szCs w:val="22"/>
          <w:rtl w:val="0"/>
        </w:rPr>
        <w:t xml:space="preserve">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 · Sistema de Finanzas para PYMEs</w:t>
      </w:r>
      <w:r w:rsidDel="00000000" w:rsidR="00000000" w:rsidRPr="00000000">
        <w:rPr>
          <w:rtl w:val="0"/>
        </w:rPr>
      </w:r>
    </w:p>
    <w:tbl>
      <w:tblPr>
        <w:tblStyle w:val="Table1"/>
        <w:tblW w:w="6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5000"/>
        <w:tblGridChange w:id="0">
          <w:tblGrid>
            <w:gridCol w:w="16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Capstone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005D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Cindy Contador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Antonio Varas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Diego Gallardo · Scrum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Vicente Hermosilla · Product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Felipe Quezada · 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12 de octubre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9"/>
        </w:tabs>
        <w:spacing w:after="60" w:lineRule="auto"/>
        <w:rPr/>
      </w:pPr>
      <w:hyperlink w:anchor="_heading=h.jc6404r4n1l4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1. Información del </w:t>
        </w:r>
      </w:hyperlink>
      <w:hyperlink w:anchor="_heading=h.jc6404r4n1l4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29"/>
        </w:tabs>
        <w:spacing w:after="60" w:lineRule="auto"/>
        <w:rPr/>
      </w:pPr>
      <w:hyperlink w:anchor="_heading=h.58my9e341hly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2. Justificación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9"/>
        </w:tabs>
        <w:spacing w:after="60" w:lineRule="auto"/>
        <w:rPr/>
      </w:pPr>
      <w:hyperlink w:anchor="_heading=h.gcyj396m3pkq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3. Problema y necesidad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9"/>
        </w:tabs>
        <w:spacing w:after="60" w:lineRule="auto"/>
        <w:rPr/>
      </w:pPr>
      <w:hyperlink w:anchor="_heading=h.nuu6lkawv9ov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4. Objetivos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9"/>
        </w:tabs>
        <w:spacing w:after="60" w:lineRule="auto"/>
        <w:rPr/>
      </w:pPr>
      <w:hyperlink w:anchor="_heading=h.zavoq5jpugtm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5. Alcance inicial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29"/>
        </w:tabs>
        <w:spacing w:after="60" w:lineRule="auto"/>
        <w:rPr/>
      </w:pPr>
      <w:hyperlink w:anchor="_heading=h.30pelnav2ta2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6. Supuestos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9"/>
        </w:tabs>
        <w:spacing w:after="60" w:lineRule="auto"/>
        <w:rPr/>
      </w:pPr>
      <w:hyperlink w:anchor="_heading=h.s5qwsem8am7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7. Restricciones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29"/>
        </w:tabs>
        <w:spacing w:after="60" w:lineRule="auto"/>
        <w:rPr/>
      </w:pPr>
      <w:hyperlink w:anchor="_heading=h.89hjnkgjyvee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8. Riesgos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29"/>
        </w:tabs>
        <w:spacing w:after="60" w:lineRule="auto"/>
        <w:rPr/>
      </w:pPr>
      <w:hyperlink w:anchor="_heading=h.4bojiongrcma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9. Stakeholders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9"/>
        </w:tabs>
        <w:spacing w:after="60" w:lineRule="auto"/>
        <w:rPr/>
      </w:pPr>
      <w:hyperlink w:anchor="_heading=h.cw5hdvtnmqze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10. Criterios de éxito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29"/>
        </w:tabs>
        <w:spacing w:after="60" w:lineRule="auto"/>
        <w:rPr/>
      </w:pPr>
      <w:hyperlink w:anchor="_heading=h.ku0u1q72haao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11. Aprobación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80" w:before="280" w:lineRule="auto"/>
        <w:rPr/>
      </w:pPr>
      <w:bookmarkStart w:colFirst="0" w:colLast="0" w:name="_heading=h.jc6404r4n1l4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1. Información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Acta de Constitución formaliza el inicio de 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: deja por escrito por qué se hace el proyecto, qué se espera lograr, con qué límites y quiénes participan. Una vez aprobada, es la referencia contra la cual se evalúan los cambios de alcance.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9"/>
        <w:tblGridChange w:id="0">
          <w:tblGrid>
            <w:gridCol w:w="2400"/>
            <w:gridCol w:w="66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KontadorIA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 · Sistema de Finanzas para PYMEs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Cliente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Micro y pequeñas empresas chilenas (1 a 20 personas) sin contador interno ni sistema contable formal.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Patrocinio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Sin sponsor externo. Proyecto autogestionado por el equipo en el marco de la asignatura Capstone de Duoc UC; la docente guía supervisa y evalúa.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Vicente Hermosilla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Diego Gallardo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Felipe Quezada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13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11 de diciembre de 2026 (fin del Sprint 5 y entrega de la versión 1.1)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Scrum, con sprints de dos semanas (el Sprint 1, de una semana).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80" w:before="280" w:lineRule="auto"/>
        <w:rPr/>
      </w:pPr>
      <w:bookmarkStart w:colFirst="0" w:colLast="0" w:name="_heading=h.58my9e341hly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2. 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Muchas PYMEs chilenas no cuentan con un sistema para llevar sus finanzas. La información se maneja en Excel, WhatsApp y registros en papel, lo que impide </w:t>
      </w:r>
      <w:r w:rsidDel="00000000" w:rsidR="00000000" w:rsidRPr="00000000">
        <w:rPr>
          <w:color w:val="262626"/>
          <w:rtl w:val="0"/>
        </w:rPr>
        <w:t xml:space="preserve">centralizar y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 tene</w:t>
      </w:r>
      <w:r w:rsidDel="00000000" w:rsidR="00000000" w:rsidRPr="00000000">
        <w:rPr>
          <w:color w:val="2626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 al día. El software contable disponible está pensado para empresas que ya formalizaron su contabilidad, por lo que el segmento que todavía trabaja con planillas o papel queda desatendido.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Al mismo tiempo, los servicios de inteligencia artificial para leer documentos y la infraestructura en la nube hacen posible ofrecer a este segmento una herramienta simple, segura y de bajo costo operativo. El proyecto se justifica, además, por el contexto normativo: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Ley N° 21.719 de protección de datos personales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 entra en plena vigencia el 1 de diciembre de 2026, por lo que una plataforma que maneja datos de varias empresas debe diseñarse desde el inicio con aislamiento y control de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80" w:before="280" w:lineRule="auto"/>
        <w:rPr/>
      </w:pPr>
      <w:bookmarkStart w:colFirst="0" w:colLast="0" w:name="_heading=h.gcyj396m3pkq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3. Problema y necesidad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uso de herramientas manuales e informales provoca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pérdida de boletas, recepción tardía de documentos y errores de registro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. Como consecuencia, el dueño no tiene una visión clara y actualizada de sus ingresos y gastos mientras el mes transcurre, y el contador externo recibe la información desordenada a fin de 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La necesidad es una forma de registrar cada movimiento en el momento en que ocurre, sin exigir conocimientos contables ni abandonar el Excel que la empresa ya usa, y con la información de cada empresa protegida.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80" w:before="280" w:lineRule="auto"/>
        <w:rPr/>
      </w:pPr>
      <w:bookmarkStart w:colFirst="0" w:colLast="0" w:name="_heading=h.nuu6lkawv9ov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4.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3"/>
          <w:szCs w:val="23"/>
          <w:rtl w:val="0"/>
        </w:rPr>
        <w:t xml:space="preserve">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Facilitar y automatizar la gestión financiera de las PYMEs chilenas pequeñas, para que registren sus ingresos y gastos en el momento en que ocurren, cuenten con una visión clara y actualizada de su situación financiera y entreguen información ordenada a su contador, sin necesidad de conocimientos contables ni de abandonar las herramientas que ya usan.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Para lograrlo, el equipo desarrolla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, una plataforma web que es el medio para alcanzar este objetivo, no el objetivo en sí. Por eso cada objetivo específico describe un cambio para la PYME, y su indicador indica cómo la plataforma permite verificarlo.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3"/>
          <w:szCs w:val="23"/>
          <w:rtl w:val="0"/>
        </w:rPr>
        <w:t xml:space="preserve">Objetivos específicos e indicadores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300"/>
        <w:gridCol w:w="3829"/>
        <w:tblGridChange w:id="0">
          <w:tblGrid>
            <w:gridCol w:w="1900"/>
            <w:gridCol w:w="3300"/>
            <w:gridCol w:w="38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Objetivo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Indicador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Visibilidad financiera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Que el dueño conozca sus ingresos, gastos y presupuestos mientras el mes transcurre, y no solo al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El dashboard muestra el resumen del mes con los movimientos al día, y la información se puede consultar con filtros y exportar en cualquier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Registro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Reducir el tiempo y los errores del registro de boletas y facturas, y evitar que se pierdan o se registren tarde.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Una boleta o factura en imagen o PDF queda registrada con sus datos extraídos automáticamente; el usuario solo los revisa y confirma, y el documento queda respaldado.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Continuidad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Que la PYME incorpore la información que ya lleva en Excel sin volver a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tipearla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Un archivo CSV/XLSX con la plantilla se importa con validación por fila y vista previa, y los movimientos quedan registrados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Trabajo en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Que cada persona de la empresa participe en la gestión financiera según su función, viendo solo lo que le corresponde.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Los roles de administrador, contador y empleado se cumplen en la interfaz, en la API y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Protección de la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Que la información financiera de cada empresa esté protegida frente a cualquier acceso de otras empresas.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En las pruebas, un usuario de la empresa A no obtiene datos de la empresa B bajo ningún rol, ni llamando a la API directamente.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Accesibilidad económica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Que la solución tenga un costo de operación bajo y predecible, acorde a una PYME pequeña.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Durante el Capstone se opera con los créditos de Azure for Students; la proyección comercial no supera en más de un 10 % el presupuesto mensual estimado (USD 25,41, ver Presupuesto Estimado v2).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Facilidad de adopción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Que la PYME gestione sus finanzas sin conocimientos contables ni capacitación previa.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Los usuarios del piloto realizan las operaciones principales sin ayuda externa.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80" w:before="280" w:lineRule="auto"/>
        <w:rPr/>
      </w:pPr>
      <w:bookmarkStart w:colFirst="0" w:colLast="0" w:name="_heading=h.zavoq5jpugtm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5. Alcance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alcance corresponde a la versión 1 del producto, que se entrega dentro del calendario del Capstone. Su detalle está en las Historias de Usuario v1.2 (18 historias) y en el Product Backlog.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Incluido en la versión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Fuera del alcance de la versión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Registro de la empresa, inicio de sesión y gestión de usuarios con tres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Integración con el SII y emisión de documentos tributarios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Registro manual de ingresos y gastos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Sincronización automática con bancos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Carga de boletas y facturas por foto o PDF, con extracción por IA y validación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Montos en otras monedas (solo CLP)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Importación de CSV/XLSX con plantilla, validación por fila y vista previa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Aplicación móvil nativa (se usa web responsive)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Aislamiento entre empresas con Row-Level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Envío automático de correos de invitación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Categorías, presupuestos, consultas, exportación 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Pasarela de pago y planes de suscripción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after="80" w:before="280" w:lineRule="auto"/>
        <w:rPr>
          <w:rFonts w:ascii="Arial" w:cs="Arial" w:eastAsia="Arial" w:hAnsi="Arial"/>
          <w:b w:val="1"/>
          <w:bCs w:val="1"/>
          <w:color w:val="073763"/>
          <w:sz w:val="30"/>
          <w:szCs w:val="30"/>
        </w:rPr>
      </w:pPr>
      <w:bookmarkStart w:colFirst="0" w:colLast="0" w:name="_heading=h.30pelnav2ta2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6. Supuestos</w:t>
      </w:r>
    </w:p>
    <w:p w:rsidR="00000000" w:rsidDel="00000000" w:rsidP="00000000" w:rsidRDefault="00000000" w:rsidRPr="00000000" w14:paraId="0000006F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85"/>
        <w:tblGridChange w:id="0">
          <w:tblGrid>
            <w:gridCol w:w="95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Supuestos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after="60" w:line="280" w:lineRule="auto"/>
              <w:ind w:left="540" w:hanging="260"/>
              <w:jc w:val="both"/>
            </w:pPr>
            <w:r w:rsidDel="00000000" w:rsidR="00000000" w:rsidRPr="00000000">
              <w:rPr>
                <w:color w:val="262626"/>
                <w:rtl w:val="0"/>
              </w:rPr>
              <w:t xml:space="preserve">Los usuarios disponen de conexión a internet y de un navegador actualizado, en el computador o el celular.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after="60" w:line="280" w:lineRule="auto"/>
              <w:ind w:left="540" w:hanging="260"/>
              <w:jc w:val="both"/>
            </w:pPr>
            <w:r w:rsidDel="00000000" w:rsidR="00000000" w:rsidRPr="00000000">
              <w:rPr>
                <w:color w:val="262626"/>
                <w:rtl w:val="0"/>
              </w:rPr>
              <w:t xml:space="preserve">Las PYMEs cuentan con información financiera básica para registrar o importar sus movimientos.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after="60" w:line="280" w:lineRule="auto"/>
              <w:ind w:left="540" w:hanging="260"/>
              <w:jc w:val="both"/>
            </w:pPr>
            <w:r w:rsidDel="00000000" w:rsidR="00000000" w:rsidRPr="00000000">
              <w:rPr>
                <w:color w:val="262626"/>
                <w:rtl w:val="0"/>
              </w:rPr>
              <w:t xml:space="preserve">Las boletas y facturas se entregan en formatos compatibles (imagen o PDF) y con calidad legible.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after="60" w:line="280" w:lineRule="auto"/>
              <w:ind w:left="540" w:hanging="260"/>
              <w:jc w:val="both"/>
            </w:pPr>
            <w:r w:rsidDel="00000000" w:rsidR="00000000" w:rsidRPr="00000000">
              <w:rPr>
                <w:color w:val="262626"/>
                <w:rtl w:val="0"/>
              </w:rPr>
              <w:t xml:space="preserve">Los servicios de Azure for Students se mantienen disponibles durante todo el semestre.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60" w:line="280" w:lineRule="auto"/>
              <w:ind w:left="540" w:hanging="260"/>
              <w:jc w:val="both"/>
            </w:pPr>
            <w:r w:rsidDel="00000000" w:rsidR="00000000" w:rsidRPr="00000000">
              <w:rPr>
                <w:color w:val="262626"/>
                <w:rtl w:val="0"/>
              </w:rPr>
              <w:t xml:space="preserve">El equipo mantiene una capacidad estimada de 20 story points por sprint de dos semanas.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80" w:before="280" w:lineRule="auto"/>
        <w:rPr>
          <w:rFonts w:ascii="Arial" w:cs="Arial" w:eastAsia="Arial" w:hAnsi="Arial"/>
          <w:b w:val="1"/>
          <w:bCs w:val="1"/>
          <w:color w:val="073763"/>
          <w:sz w:val="30"/>
          <w:szCs w:val="30"/>
        </w:rPr>
      </w:pPr>
      <w:bookmarkStart w:colFirst="0" w:colLast="0" w:name="_heading=h.s5qwsem8am7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7. Restricciones</w:t>
      </w:r>
    </w:p>
    <w:p w:rsidR="00000000" w:rsidDel="00000000" w:rsidP="00000000" w:rsidRDefault="00000000" w:rsidRPr="00000000" w14:paraId="00000078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99203466"/>
        <w:tag w:val="goog_rdk_0"/>
      </w:sdtPr>
      <w:sdtContent>
        <w:tbl>
          <w:tblPr>
            <w:tblStyle w:val="Table6"/>
            <w:tblW w:w="958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85"/>
            <w:tblGridChange w:id="0">
              <w:tblGrid>
                <w:gridCol w:w="958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tcBorders>
                  <w:top w:color="d9e1ec" w:space="0" w:sz="4" w:val="single"/>
                  <w:left w:color="d9e1ec" w:space="0" w:sz="4" w:val="single"/>
                  <w:bottom w:color="d9e1ec" w:space="0" w:sz="4" w:val="single"/>
                  <w:right w:color="d9e1ec" w:space="0" w:sz="4" w:val="single"/>
                </w:tcBorders>
                <w:shd w:fill="073763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79">
                <w:pPr>
                  <w:spacing w:line="2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Restricciones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d9e1ec" w:space="0" w:sz="4" w:val="single"/>
                  <w:left w:color="d9e1ec" w:space="0" w:sz="4" w:val="single"/>
                  <w:bottom w:color="d9e1ec" w:space="0" w:sz="4" w:val="single"/>
                  <w:right w:color="d9e1ec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7A">
                <w:pPr>
                  <w:numPr>
                    <w:ilvl w:val="0"/>
                    <w:numId w:val="1"/>
                  </w:numPr>
                  <w:spacing w:after="60" w:line="280" w:lineRule="auto"/>
                  <w:ind w:left="540" w:hanging="260"/>
                  <w:jc w:val="both"/>
                </w:pPr>
                <w:r w:rsidDel="00000000" w:rsidR="00000000" w:rsidRPr="00000000">
                  <w:rPr>
                    <w:b w:val="1"/>
                    <w:bCs w:val="1"/>
                    <w:color w:val="262626"/>
                    <w:rtl w:val="0"/>
                  </w:rPr>
                  <w:t xml:space="preserve">Tiempo:</w:t>
                </w:r>
                <w:r w:rsidDel="00000000" w:rsidR="00000000" w:rsidRPr="00000000">
                  <w:rPr>
                    <w:color w:val="262626"/>
                    <w:rtl w:val="0"/>
                  </w:rPr>
                  <w:t xml:space="preserve"> El proyecto se desarrolla dentro del calendario académico del Capstone; el alcance se limita a la versión 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d9e1ec" w:space="0" w:sz="4" w:val="single"/>
                  <w:left w:color="d9e1ec" w:space="0" w:sz="4" w:val="single"/>
                  <w:bottom w:color="d9e1ec" w:space="0" w:sz="4" w:val="single"/>
                  <w:right w:color="d9e1ec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7B">
                <w:pPr>
                  <w:numPr>
                    <w:ilvl w:val="0"/>
                    <w:numId w:val="1"/>
                  </w:numPr>
                  <w:spacing w:after="60" w:line="280" w:lineRule="auto"/>
                  <w:ind w:left="540" w:hanging="260"/>
                  <w:jc w:val="both"/>
                </w:pPr>
                <w:r w:rsidDel="00000000" w:rsidR="00000000" w:rsidRPr="00000000">
                  <w:rPr>
                    <w:b w:val="1"/>
                    <w:bCs w:val="1"/>
                    <w:color w:val="262626"/>
                    <w:rtl w:val="0"/>
                  </w:rPr>
                  <w:t xml:space="preserve">Equipo:</w:t>
                </w:r>
                <w:r w:rsidDel="00000000" w:rsidR="00000000" w:rsidRPr="00000000">
                  <w:rPr>
                    <w:color w:val="262626"/>
                    <w:rtl w:val="0"/>
                  </w:rPr>
                  <w:t xml:space="preserve"> Un desarrollador concentra el trabajo técnico; el Scrum Master y el Product Owner apoyan con pruebas y documentación.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d9e1ec" w:space="0" w:sz="4" w:val="single"/>
                  <w:left w:color="d9e1ec" w:space="0" w:sz="4" w:val="single"/>
                  <w:bottom w:color="d9e1ec" w:space="0" w:sz="4" w:val="single"/>
                  <w:right w:color="d9e1ec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7C">
                <w:pPr>
                  <w:numPr>
                    <w:ilvl w:val="0"/>
                    <w:numId w:val="1"/>
                  </w:numPr>
                  <w:spacing w:after="60" w:line="280" w:lineRule="auto"/>
                  <w:ind w:left="540" w:hanging="260"/>
                  <w:jc w:val="both"/>
                </w:pPr>
                <w:r w:rsidDel="00000000" w:rsidR="00000000" w:rsidRPr="00000000">
                  <w:rPr>
                    <w:b w:val="1"/>
                    <w:bCs w:val="1"/>
                    <w:color w:val="262626"/>
                    <w:rtl w:val="0"/>
                  </w:rPr>
                  <w:t xml:space="preserve">Tecnología:</w:t>
                </w:r>
                <w:r w:rsidDel="00000000" w:rsidR="00000000" w:rsidRPr="00000000">
                  <w:rPr>
                    <w:color w:val="262626"/>
                    <w:rtl w:val="0"/>
                  </w:rPr>
                  <w:t xml:space="preserve"> La plataforma depende de los servicios elegidos (Azure Functions, Azure SQL Database, Blob Storage, AI Document Intelligence y Entra External ID; frontend en Netlify).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d9e1ec" w:space="0" w:sz="4" w:val="single"/>
                  <w:left w:color="d9e1ec" w:space="0" w:sz="4" w:val="single"/>
                  <w:bottom w:color="d9e1ec" w:space="0" w:sz="4" w:val="single"/>
                  <w:right w:color="d9e1ec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7D">
                <w:pPr>
                  <w:numPr>
                    <w:ilvl w:val="0"/>
                    <w:numId w:val="1"/>
                  </w:numPr>
                  <w:spacing w:after="60" w:line="280" w:lineRule="auto"/>
                  <w:ind w:left="540" w:hanging="260"/>
                  <w:jc w:val="both"/>
                </w:pPr>
                <w:r w:rsidDel="00000000" w:rsidR="00000000" w:rsidRPr="00000000">
                  <w:rPr>
                    <w:b w:val="1"/>
                    <w:bCs w:val="1"/>
                    <w:color w:val="262626"/>
                    <w:rtl w:val="0"/>
                  </w:rPr>
                  <w:t xml:space="preserve">Cuenta institucional:</w:t>
                </w:r>
                <w:r w:rsidDel="00000000" w:rsidR="00000000" w:rsidRPr="00000000">
                  <w:rPr>
                    <w:color w:val="262626"/>
                    <w:rtl w:val="0"/>
                  </w:rPr>
                  <w:t xml:space="preserve"> la suscripción Azure for Students de Duoc limita las regiones permitidas y no permite crear tenants ni App Registrations, por lo que la identidad de usuarios vive en una cuenta Azure separada.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d9e1ec" w:space="0" w:sz="4" w:val="single"/>
                  <w:left w:color="d9e1ec" w:space="0" w:sz="4" w:val="single"/>
                  <w:bottom w:color="d9e1ec" w:space="0" w:sz="4" w:val="single"/>
                  <w:right w:color="d9e1ec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7E">
                <w:pPr>
                  <w:numPr>
                    <w:ilvl w:val="0"/>
                    <w:numId w:val="1"/>
                  </w:numPr>
                  <w:spacing w:after="60" w:line="280" w:lineRule="auto"/>
                  <w:ind w:left="540" w:hanging="260"/>
                  <w:jc w:val="both"/>
                </w:pPr>
                <w:r w:rsidDel="00000000" w:rsidR="00000000" w:rsidRPr="00000000">
                  <w:rPr>
                    <w:color w:val="262626"/>
                    <w:rtl w:val="0"/>
                  </w:rPr>
                  <w:t xml:space="preserve">El equipo mantiene una capacidad estimada de 20 story points por sprint de dos semanas.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d9e1ec" w:space="0" w:sz="4" w:val="single"/>
                  <w:left w:color="d9e1ec" w:space="0" w:sz="4" w:val="single"/>
                  <w:bottom w:color="d9e1ec" w:space="0" w:sz="4" w:val="single"/>
                  <w:right w:color="d9e1ec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7F">
                <w:pPr>
                  <w:numPr>
                    <w:ilvl w:val="0"/>
                    <w:numId w:val="1"/>
                  </w:numPr>
                  <w:spacing w:after="60" w:line="280" w:lineRule="auto"/>
                  <w:ind w:left="540" w:hanging="260"/>
                  <w:jc w:val="both"/>
                </w:pPr>
                <w:r w:rsidDel="00000000" w:rsidR="00000000" w:rsidRPr="00000000">
                  <w:rPr>
                    <w:b w:val="1"/>
                    <w:bCs w:val="1"/>
                    <w:color w:val="262626"/>
                    <w:rtl w:val="0"/>
                  </w:rPr>
                  <w:t xml:space="preserve">Presupuesto:</w:t>
                </w:r>
                <w:r w:rsidDel="00000000" w:rsidR="00000000" w:rsidRPr="00000000">
                  <w:rPr>
                    <w:color w:val="262626"/>
                    <w:rtl w:val="0"/>
                  </w:rPr>
                  <w:t xml:space="preserve"> durante el Capstone se opera con créditos y niveles gratuitos; no hay presupuesto para servicios pagados.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d9e1ec" w:space="0" w:sz="4" w:val="single"/>
                  <w:left w:color="d9e1ec" w:space="0" w:sz="4" w:val="single"/>
                  <w:bottom w:color="d9e1ec" w:space="0" w:sz="4" w:val="single"/>
                  <w:right w:color="d9e1ec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80">
                <w:pPr>
                  <w:numPr>
                    <w:ilvl w:val="0"/>
                    <w:numId w:val="1"/>
                  </w:numPr>
                  <w:spacing w:after="60" w:line="280" w:lineRule="auto"/>
                  <w:ind w:left="540" w:hanging="260"/>
                  <w:jc w:val="both"/>
                </w:pPr>
                <w:r w:rsidDel="00000000" w:rsidR="00000000" w:rsidRPr="00000000">
                  <w:rPr>
                    <w:b w:val="1"/>
                    <w:bCs w:val="1"/>
                    <w:color w:val="262626"/>
                    <w:rtl w:val="0"/>
                  </w:rPr>
                  <w:t xml:space="preserve">Normativa:</w:t>
                </w:r>
                <w:r w:rsidDel="00000000" w:rsidR="00000000" w:rsidRPr="00000000">
                  <w:rPr>
                    <w:color w:val="262626"/>
                    <w:rtl w:val="0"/>
                  </w:rPr>
                  <w:t xml:space="preserve"> la versión 1 no se integra con el SII ni con bancos.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after="80" w:before="280" w:lineRule="auto"/>
        <w:rPr/>
      </w:pPr>
      <w:bookmarkStart w:colFirst="0" w:colLast="0" w:name="_heading=h.89hjnkgjyvee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8. Riesgos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900"/>
        <w:gridCol w:w="1000"/>
        <w:gridCol w:w="4129"/>
        <w:tblGridChange w:id="0">
          <w:tblGrid>
            <w:gridCol w:w="3000"/>
            <w:gridCol w:w="900"/>
            <w:gridCol w:w="1000"/>
            <w:gridCol w:w="41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Una política de Row-Level Security mal configurada permite ver datos de otra empresa.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Contexto de sesión fijado en cada solicitud a partir del token validado y pruebas automáticas de aislamiento entre empresas y entre empleados.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La IA extrae mal los datos de documentos borrosos o en formatos no reconocidos.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El usuario revisa y confirma antes de guardar; si el documento no se puede leer, se ofrece el formulario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Archivos CSV/XLSX mal formados generan movimientos incorrectos o incompletos.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Plantilla fija descargable, validación de cada fila y vista previa antes de confirmar.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Cambios en las restricciones o la disponibilidad de Azure.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Identidad en una cuenta separada y frontend en Netlify; la infraestructura se documenta para poder recrearla.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Retrasos frente al calendario académico.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Alcance cerrado y backlog priorizado; lo no esencial (HU13, HU15) se posterga primero.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spacing w:after="80" w:before="280" w:lineRule="auto"/>
        <w:rPr/>
      </w:pPr>
      <w:bookmarkStart w:colFirst="0" w:colLast="0" w:name="_heading=h.4bojiongrcma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9.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La siguiente tabla resume a los interesados principales. Su análisis de interés, influencia y estrategia de involucramiento se detalla en el Registro de Stakeholders y en el Mapa de Actores.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400"/>
        <w:gridCol w:w="5329"/>
        <w:tblGridChange w:id="0">
          <w:tblGrid>
            <w:gridCol w:w="2300"/>
            <w:gridCol w:w="1400"/>
            <w:gridCol w:w="53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Vicente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Product Owner: define la visión, prioriza el backlog y acepta los incrementos.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Diego Gallardo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Scrum Master: facilita los eventos Scrum, elimina impedimentos y apoya en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Felipe Quezada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Desarrollador: diseña, construye, prueba y despliega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Cindy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Docente guía: orienta el proyecto y evalúa los entregables de cada fase.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Dueño de la PYME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Administra la empresa en la plataforma y decide su adopción.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Contador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Consulta, importa y exporta la información de una o varias empresas.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Registra los gastos e ingresos del día a día.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80" w:before="280" w:lineRule="auto"/>
        <w:rPr/>
      </w:pPr>
      <w:bookmarkStart w:colFirst="0" w:colLast="0" w:name="_heading=h.cw5hdvtnmqze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10. Criterios de éxito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proyecto se considera exitoso si, al cierre del Sprint 5, se cumple lo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54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Las historias comprometidas para la versión 1 cumplen sus criterios de aceptación y fueron aceptadas por el Product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54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Los tres flujos de carga (manual, foto/PDF e importación CSV/XLSX) funcionan de punta a punta, con confirmación del usuario antes de guardar.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54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Las pruebas demuestran que no hay acceso a datos entre empresas bajo ningún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54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La plataforma está desplegada y accesible en kontadoria.cl, operando dentro de los créditos de Azure for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54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Al menos una PYME del programa piloto prueba la plataforma y entrega retroalimentación.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spacing w:after="80" w:before="280" w:lineRule="auto"/>
        <w:rPr/>
      </w:pPr>
      <w:bookmarkStart w:colFirst="0" w:colLast="0" w:name="_heading=h.ku0u1q72haao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11. 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Con la firma de este documento, el equipo se compromete con los objetivos, el alcance y las restricciones aquí descritos.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2629"/>
        <w:gridCol w:w="1800"/>
        <w:tblGridChange w:id="0">
          <w:tblGrid>
            <w:gridCol w:w="2600"/>
            <w:gridCol w:w="2000"/>
            <w:gridCol w:w="2629"/>
            <w:gridCol w:w="18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Vicente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Diego Gallardo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Felipe Quezada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Cindy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f7f7f"/>
          <w:sz w:val="17"/>
          <w:szCs w:val="17"/>
          <w:rtl w:val="0"/>
        </w:rPr>
        <w:t xml:space="preserve">Fuentes: Ficha del Proyecto v2, Product Vision y Product Goal, Product Roadmap, Historias de Usuario v1.2 y Seguridad en el Sistema v2.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600" w:footer="6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jc w:val="right"/>
      <w:rPr/>
    </w:pP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Acta de Constitución · </w:t>
    </w: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KontadorIA</w:t>
    </w: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 · Página </w:t>
    </w:r>
    <w:r w:rsidDel="00000000" w:rsidR="00000000" w:rsidRPr="00000000">
      <w:rPr>
        <w:rFonts w:ascii="Arial" w:cs="Arial" w:eastAsia="Arial" w:hAnsi="Arial"/>
        <w:color w:val="073763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Bdr>
        <w:bottom w:color="073763" w:space="4" w:sz="6" w:val="single"/>
      </w:pBdr>
      <w:tabs>
        <w:tab w:val="right" w:leader="none" w:pos="9029"/>
      </w:tabs>
      <w:rPr/>
    </w:pPr>
    <w:r w:rsidDel="00000000" w:rsidR="00000000" w:rsidRPr="00000000">
      <w:rPr/>
      <w:drawing>
        <wp:inline distB="0" distT="0" distL="0" distR="0">
          <wp:extent cx="914400" cy="22860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228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Instituto Profesional DuocUC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jc w:val="right"/>
      <w:rPr/>
    </w:pP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Escuela de Informática y Telecomunicaciones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Bdr>
        <w:bottom w:color="073763" w:space="4" w:sz="6" w:val="single"/>
      </w:pBdr>
      <w:tabs>
        <w:tab w:val="right" w:leader="none" w:pos="9029"/>
      </w:tabs>
      <w:rPr/>
    </w:pPr>
    <w:r w:rsidDel="00000000" w:rsidR="00000000" w:rsidRPr="00000000">
      <w:rPr/>
      <w:drawing>
        <wp:inline distB="0" distT="0" distL="0" distR="0">
          <wp:extent cx="914400" cy="2286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228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Instituto Profesional DuocUC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jc w:val="right"/>
      <w:rPr/>
    </w:pP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Escuela de Informática y Telecomunicaciones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>
        <w:color w:val="073763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95S8C1DFzeejx/+Db9qXxLB3IA==">CgMxLjAaHwoBMBIaChgICVIUChJ0YWJsZS52anhnZHpqbWhiNXYyDmguamM2NDA0cjRuMWw0Mg5oLjU4bXk5ZTM0MWhseTIOaC5nY3lqMzk2bTNwa3EyDmgubnV1NmxrYXd2OW92Mg5oLnphdm9xNWpwdWd0bTIOaC4zMHBlbG5hdjJ0YTIyDWguczVxd3NlbThhbTcyDmguODloam5rZ2p5dmVlMg5oLjRib2ppb25ncmNtYTIOaC5jdzVoZHZ0bm1xemUyDmgua3UwdTFxNzJoYWFvOAByITFrd0kxVGk4SjNfbjJLYnZLUE9FbXBaMUdQU3Z5T29r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2026-10-13T02:52:15.982Z</dcterms:created>
  <dc:creator>Equipo KontadorIA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