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30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44"/>
          <w:szCs w:val="44"/>
          <w:rtl w:val="0"/>
        </w:rPr>
        <w:t xml:space="preserve">Modelo de Base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c9a227"/>
          <w:sz w:val="22"/>
          <w:szCs w:val="22"/>
          <w:rtl w:val="0"/>
        </w:rPr>
        <w:t xml:space="preserve">━━━━━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95959"/>
          <w:sz w:val="24"/>
          <w:szCs w:val="24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595959"/>
          <w:sz w:val="24"/>
          <w:szCs w:val="24"/>
          <w:rtl w:val="0"/>
        </w:rPr>
        <w:t xml:space="preserve"> · Sistema de Finanzas para PYMEs</w:t>
      </w:r>
      <w:r w:rsidDel="00000000" w:rsidR="00000000" w:rsidRPr="00000000">
        <w:rPr>
          <w:rtl w:val="0"/>
        </w:rPr>
      </w:r>
    </w:p>
    <w:tbl>
      <w:tblPr>
        <w:tblStyle w:val="Table1"/>
        <w:tblW w:w="66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5000"/>
        <w:tblGridChange w:id="0">
          <w:tblGrid>
            <w:gridCol w:w="1600"/>
            <w:gridCol w:w="5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Capstone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Sección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005D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Cindy Contador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Sede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Antonio Varas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Diego Gallardo · Scrum Master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Vicente Hermosilla · Product Owner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Felipe Quezada ·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13 de octubre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Índice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029"/>
        </w:tabs>
        <w:spacing w:after="60" w:lineRule="auto"/>
        <w:rPr/>
      </w:pPr>
      <w:hyperlink w:anchor="_heading=h.wridnblzh14m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1. Modelo relacional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029"/>
        </w:tabs>
        <w:spacing w:after="60" w:lineRule="auto"/>
        <w:rPr/>
      </w:pPr>
      <w:hyperlink w:anchor="_heading=h.csq4031ecptu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2. Cómo leer el diagrama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029"/>
        </w:tabs>
        <w:spacing w:after="60" w:lineRule="auto"/>
        <w:rPr/>
      </w:pPr>
      <w:hyperlink w:anchor="_heading=h.ehu0n26d6rw7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3. Entidades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9029"/>
        </w:tabs>
        <w:spacing w:after="60" w:lineRule="auto"/>
        <w:rPr/>
      </w:pPr>
      <w:hyperlink w:anchor="_heading=h.tdqkxgbbfs1t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4. Relaciones y cardinalidad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029"/>
        </w:tabs>
        <w:spacing w:after="60" w:lineRule="auto"/>
        <w:rPr/>
      </w:pPr>
      <w:hyperlink w:anchor="_heading=h.yi1ee1xsnbxv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5. Decisiones de diseño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spacing w:after="80" w:before="280" w:lineRule="auto"/>
        <w:rPr/>
      </w:pPr>
      <w:bookmarkStart w:colFirst="0" w:colLast="0" w:name="_heading=h.wridnblzh14m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1. Modelo relacional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El modelo describe las entidades que guarda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en Azure SQL Database, sus atributos con los tipos de datos de SQL Server, las claves primarias y foráneas, y la cardinalidad de cada relación. Es la base de las migraciones de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57912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579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f7f7f"/>
          <w:sz w:val="17"/>
          <w:szCs w:val="17"/>
          <w:rtl w:val="0"/>
        </w:rPr>
        <w:t xml:space="preserve">Figura 1. Modelo relacional de </w:t>
      </w:r>
      <w:r w:rsidDel="00000000" w:rsidR="00000000" w:rsidRPr="00000000">
        <w:rPr>
          <w:rFonts w:ascii="Arial" w:cs="Arial" w:eastAsia="Arial" w:hAnsi="Arial"/>
          <w:i w:val="1"/>
          <w:iCs w:val="1"/>
          <w:color w:val="7f7f7f"/>
          <w:sz w:val="17"/>
          <w:szCs w:val="17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i w:val="1"/>
          <w:iCs w:val="1"/>
          <w:color w:val="7f7f7f"/>
          <w:sz w:val="17"/>
          <w:szCs w:val="17"/>
          <w:rtl w:val="0"/>
        </w:rPr>
        <w:t xml:space="preserve"> (Azure SQL Database).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spacing w:after="80" w:before="280" w:lineRule="auto"/>
        <w:rPr/>
      </w:pPr>
      <w:bookmarkStart w:colFirst="0" w:colLast="0" w:name="_heading=h.csq4031ecptu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2. Cómo leer el diagrama</w:t>
      </w: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7229"/>
        <w:tblGridChange w:id="0">
          <w:tblGrid>
            <w:gridCol w:w="1800"/>
            <w:gridCol w:w="722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Símbolo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Clave primaria. Todas las tablas usan un identificador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UNIQUEIDENTIFIER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(GUID).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Clave foránea: apunta a la clave primaria de otra tabla (indicada por la línea de relación).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Valor único: no se puede repetir (por ejemplo, el RUT de una empresa o el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entra_oid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de un usuario).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Restricción CHECK: el campo solo acepta una lista cerrada de valores o un rango (por ejemplo, tipo = ingreso o gasto, monto mayor que cero).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NN /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NN: el campo es obligatorio. NULL: el campo es opcional (además, su nombre aparece en cursiva).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RLS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La tabla está protegida por Row-Level Security: cada consulta solo ve las filas de la empresa del usuario y, para el rol empleado, solo sus propios movimientos.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Línea con ||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Lado «uno»: exactamente un registro.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Línea con |O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Lado «cero o uno»: la relación es opcional (por ejemplo, un movimiento puede no venir de una importación).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Línea con O&lt;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Lado «muchos», opcional: cero o más registros.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Línea con |&lt;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Lado «muchos», obligatorio: uno o más registros (toda empresa tiene al menos un usuario administrador).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spacing w:after="80" w:before="280" w:lineRule="auto"/>
        <w:rPr/>
      </w:pPr>
      <w:bookmarkStart w:colFirst="0" w:colLast="0" w:name="_heading=h.ehu0n26d6rw7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3. Entidades</w:t>
      </w: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700"/>
        <w:gridCol w:w="3929"/>
        <w:gridCol w:w="700"/>
        <w:tblGridChange w:id="0">
          <w:tblGrid>
            <w:gridCol w:w="1700"/>
            <w:gridCol w:w="2700"/>
            <w:gridCol w:w="3929"/>
            <w:gridCol w:w="7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Qué guarda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Atributos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mpresas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Cada PYME registrada en la plataforma.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id (PK), nombre, rut (UQ), giro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Cada persona que inicia sesión, </w:t>
            </w:r>
            <w:r w:rsidDel="00000000" w:rsidR="00000000" w:rsidRPr="00000000">
              <w:rPr>
                <w:color w:val="262626"/>
                <w:sz w:val="19"/>
                <w:szCs w:val="19"/>
                <w:rtl w:val="0"/>
              </w:rPr>
              <w:t xml:space="preserve">está vinculada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a su identidad en Entra External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id (PK),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entra_oid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(UQ), email,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suarios_empresa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La pertenencia de un usuario a una empresa y su rol en ella.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id (PK), usuario_id (FK),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empresa_id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(FK), rol (CK), activo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I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nvitaciones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Los enlaces de invitación que genera el administrador.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id (PK),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empresa_id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(FK),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email_invitado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, rol (CK),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token_hash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(UQ), estado (CK),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expira_en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invitado_por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(FK),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usada_en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Categorías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Las categorías de ingreso y gasto: predefinidas o propias de una empresa.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id (PK),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empresa_id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(FK, opcional), nombre, tipo (CK), 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resupuestos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El monto límite por categoría y 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id (PK),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empresa_id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(FK), categoria_id (FK), mes,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monto_limite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ovimientos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Cada ingreso o gasto registrado, con su origen y su respaldo.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id (PK),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empresa_id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, usuario_id, categoria_id e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importacion_id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(FK), client_request_id (UQ), tipo (CK), fecha, monto (CK), proveedor, </w:t>
            </w:r>
            <w:r w:rsidDel="00000000" w:rsidR="00000000" w:rsidRPr="00000000">
              <w:rPr>
                <w:color w:val="262626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tipo_documento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(CK), origen (CK),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archivo_blob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I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mportaciones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Cada archivo CSV/XLSX importado y su resultado.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id (PK),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empresa_id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 (FK), usuario_id (FK), nombre_archivo, tipo_archivo (CK),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total_filas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filas_importadas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, filas_con_error, estado (CK)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Todas las tablas incluyen además la columna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creado_en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(DATETIME2) con la fecha de creación del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1"/>
        <w:spacing w:after="80" w:before="280" w:lineRule="auto"/>
        <w:rPr/>
      </w:pPr>
      <w:bookmarkStart w:colFirst="0" w:colLast="0" w:name="_heading=h.tdqkxgbbfs1t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4. Relaciones y cardinalidad</w:t>
      </w: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450"/>
        <w:gridCol w:w="2950"/>
        <w:gridCol w:w="2429"/>
        <w:tblGridChange w:id="0">
          <w:tblGrid>
            <w:gridCol w:w="2200"/>
            <w:gridCol w:w="1450"/>
            <w:gridCol w:w="2950"/>
            <w:gridCol w:w="242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Cardinalidad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Clave foránea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empresas —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usuarios_empresa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1..*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usuarios_empresa.empresa_id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Toda empresa tiene al menos un usuario (su administrador).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usuarios —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usuarios_empresa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usuarios_empresa.usuario_id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Una persona puede pertenecer a varias empresas, con un rol en cada una (por ejemplo, un contador).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empresas — invitaciones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invitaciones.empresa_id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Invitaciones generadas para la empresa.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usuarios_empresa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 — invitaciones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invitaciones.invitado_por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Quién generó la invitación, como miembro de la empresa.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empresas — </w:t>
            </w: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categorías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0..1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categorias.empresa_id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Sin empresa, la categoría es predefinida y la ven todas; con empresa, es propia de ella.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empresas — presupuestos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presupuestos.empresa_id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Presupuestos de la empresa.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categorias — presupuestos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presupuestos.categoria_id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Cada presupuesto corresponde a una categoría y un 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empresas — movimientos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movimientos.empresa_id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Movimientos de la empresa.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usuarios — movimientos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movimientos.usuario_id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Quién registró el movimiento (base del filtro RLS para el empleado).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categorías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 — movimientos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movimientos.categoria_id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Categoría del movimiento.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importaciones — movimientos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0..1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movimientos.importacion_id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Un movimiento puede venir de una importación o haberse registrado de otra 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empresas — importaciones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importaciones.empresa_id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Importaciones de la empresa.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usuarios — importaciones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: 0..*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importaciones.usuario_id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Quién importó el archivo.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spacing w:after="80" w:before="280" w:lineRule="auto"/>
        <w:rPr/>
      </w:pPr>
      <w:bookmarkStart w:colFirst="0" w:colLast="0" w:name="_heading=h.yi1ee1xsnbxv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5. Decisiones de diseño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Usuarios separados de la identidad: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Entra External ID solo identifica a la persona; la tabla usuarios la vincula por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entra_oid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y no guarda contraseñas.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Rol por empresa: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el rol vive en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usuarios_empresa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y no en el usuario, porque una misma persona (por ejemplo, un contador) puede atender a varias empresas con roles distintos.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Montos enteros en pesos chilenos: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monto y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monto_limite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son BIGINT en CLP, sin decimales, para evitar errores de redondeo; una restricción CHECK exige que sean mayores que cero.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Una sola fecha por movimiento: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la fecha del documento o de la operación;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creado_en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registra aparte cuándo se cargó en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Trazabilidad del origen: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cada movimiento indica su origen (manual, documento o importación), quién lo registró y, si corresponde, la importación y el archivo de respaldo en Blob Storage.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Sin duplicados por reintentos: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client_request_id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es único, por lo que si el usuario envía dos veces el mismo movimiento (por ejemplo, con mala conexión) se guarda una sola vez.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Aislamiento con Row-Level Security: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las tablas con datos de la empresa filtran por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empresa_id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según el contexto de sesión que fija el backend; las tablas empresas, usuarios y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usuarios_empresa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no usan RLS porque el backend las consulta para resolver ese contexto.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Fuera de la versión 1: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planes y suscripciones; se agregarán cuando exista la monetización (ver Product Roadmap).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f7f7f"/>
          <w:sz w:val="17"/>
          <w:szCs w:val="17"/>
          <w:rtl w:val="0"/>
        </w:rPr>
        <w:t xml:space="preserve">Fuentes: Historias de Usuario v1.2, Documento de Arquitectura de Software v3 y Seguridad en el Sistema v2.</w:t>
      </w: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440" w:top="1440" w:left="1440" w:right="1440" w:header="600" w:footer="60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jc w:val="right"/>
      <w:rPr/>
    </w:pP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Modelo de Base de Datos · </w:t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KontadorIA</w:t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 · Página </w:t>
    </w:r>
    <w:r w:rsidDel="00000000" w:rsidR="00000000" w:rsidRPr="00000000">
      <w:rPr>
        <w:rFonts w:ascii="Arial" w:cs="Arial" w:eastAsia="Arial" w:hAnsi="Arial"/>
        <w:color w:val="073763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pBdr>
        <w:bottom w:color="073763" w:space="4" w:sz="6" w:val="single"/>
      </w:pBdr>
      <w:tabs>
        <w:tab w:val="right" w:leader="none" w:pos="9029"/>
      </w:tabs>
      <w:rPr/>
    </w:pPr>
    <w:r w:rsidDel="00000000" w:rsidR="00000000" w:rsidRPr="00000000">
      <w:rPr/>
      <w:drawing>
        <wp:inline distB="0" distT="0" distL="0" distR="0">
          <wp:extent cx="914400" cy="228600"/>
          <wp:effectExtent b="0" l="0" r="0" t="0"/>
          <wp:docPr id="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228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Instituto Profesional DuocUC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4">
    <w:pPr>
      <w:jc w:val="right"/>
      <w:rPr/>
    </w:pP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Escuela de Informática y Telecomunicaciones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pBdr>
        <w:bottom w:color="073763" w:space="4" w:sz="6" w:val="single"/>
      </w:pBdr>
      <w:tabs>
        <w:tab w:val="right" w:leader="none" w:pos="9029"/>
      </w:tabs>
      <w:rPr/>
    </w:pPr>
    <w:r w:rsidDel="00000000" w:rsidR="00000000" w:rsidRPr="00000000">
      <w:rPr/>
      <w:drawing>
        <wp:inline distB="0" distT="0" distL="0" distR="0">
          <wp:extent cx="914400" cy="228600"/>
          <wp:effectExtent b="0" l="0" r="0" t="0"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228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Instituto Profesional DuocUC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6">
    <w:pPr>
      <w:jc w:val="right"/>
      <w:rPr/>
    </w:pP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Escuela de Informática y Telecomunicaciones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60"/>
      </w:pPr>
      <w:rPr>
        <w:color w:val="073763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XMvYY5CSD7Rg2Y+w93VilN3zwQ==">CgMxLjAyDmgud3JpZG5ibHpoMTRtMg5oLmNzcTQwMzFlY3B0dTIOaC5laHUwbjI2ZDZydzcyDmgudGRxa3hnYmJmczF0Mg5oLnlpMWVlMXhzbmJ4djgAciExNWhKUmFwVmU2Q2E4dExXMi1mV0lkQUl0dUlDa28xZDM=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2026-10-13T03:34:16.889Z</dcterms:created>
  <dc:creator>Equipo KontadorIA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