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626C" w14:textId="77777777" w:rsidR="00F35DEC" w:rsidRPr="00F35DEC" w:rsidRDefault="00F35DEC" w:rsidP="00F35DEC">
      <w:pPr>
        <w:pBdr>
          <w:bottom w:val="single" w:sz="6" w:space="9" w:color="DDDDDD"/>
        </w:pBdr>
        <w:shd w:val="clear" w:color="auto" w:fill="FFFFFF"/>
        <w:spacing w:before="225" w:after="225" w:line="240" w:lineRule="auto"/>
        <w:outlineLvl w:val="0"/>
        <w:rPr>
          <w:rFonts w:ascii="Helvetica" w:eastAsia="Times New Roman" w:hAnsi="Helvetica" w:cs="Helvetica"/>
          <w:color w:val="212529"/>
          <w:kern w:val="36"/>
          <w:sz w:val="48"/>
          <w:szCs w:val="48"/>
          <w14:ligatures w14:val="none"/>
        </w:rPr>
      </w:pPr>
      <w:r w:rsidRPr="00F35DEC">
        <w:rPr>
          <w:rFonts w:ascii="Helvetica" w:eastAsia="Times New Roman" w:hAnsi="Helvetica" w:cs="Helvetica"/>
          <w:color w:val="212529"/>
          <w:kern w:val="36"/>
          <w:sz w:val="48"/>
          <w:szCs w:val="48"/>
          <w14:ligatures w14:val="none"/>
        </w:rPr>
        <w:t>WRDS Overview of TRACE</w:t>
      </w:r>
    </w:p>
    <w:p w14:paraId="3AF780E8"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TRACE is a program operated by FINRA for reporting of certain fixed-income securities.</w:t>
      </w:r>
    </w:p>
    <w:p w14:paraId="44191C8C" w14:textId="77777777" w:rsidR="00F35DEC" w:rsidRPr="00F35DEC" w:rsidRDefault="00F35DEC" w:rsidP="00F35DEC">
      <w:pPr>
        <w:shd w:val="clear" w:color="auto" w:fill="FFFFFF"/>
        <w:spacing w:after="100" w:afterAutospacing="1" w:line="240" w:lineRule="auto"/>
        <w:outlineLvl w:val="1"/>
        <w:rPr>
          <w:rFonts w:ascii="Helvetica" w:eastAsia="Times New Roman" w:hAnsi="Helvetica" w:cs="Helvetica"/>
          <w:color w:val="212529"/>
          <w:kern w:val="0"/>
          <w:sz w:val="36"/>
          <w:szCs w:val="36"/>
          <w14:ligatures w14:val="none"/>
        </w:rPr>
      </w:pPr>
      <w:bookmarkStart w:id="0" w:name="general-description"/>
      <w:bookmarkEnd w:id="0"/>
      <w:r w:rsidRPr="00F35DEC">
        <w:rPr>
          <w:rFonts w:ascii="Helvetica" w:eastAsia="Times New Roman" w:hAnsi="Helvetica" w:cs="Helvetica"/>
          <w:color w:val="212529"/>
          <w:kern w:val="0"/>
          <w:sz w:val="36"/>
          <w:szCs w:val="36"/>
          <w14:ligatures w14:val="none"/>
        </w:rPr>
        <w:t>General Description</w:t>
      </w:r>
    </w:p>
    <w:p w14:paraId="1268FFA7"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TRACE stands for Trade Reporting and Compliance Engine. It is operated by FINRA, the Financial Industry Regulatory Authority. This program reports over the counter (OTC) sales of certain fixed-income securities. The buyer or seller (or both) must be brokers listed with FINRA. TRACE was introduced in 2002.</w:t>
      </w:r>
    </w:p>
    <w:p w14:paraId="61246682"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There are several categories of securities in TRACE:</w:t>
      </w:r>
    </w:p>
    <w:p w14:paraId="4C7D75F2" w14:textId="77777777" w:rsidR="00F35DEC" w:rsidRPr="00F35DEC" w:rsidRDefault="00F35DEC" w:rsidP="00F35DEC">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BTDS: corporate bonds (U.S. dollar-denominated, investment grade and high yield).</w:t>
      </w:r>
    </w:p>
    <w:p w14:paraId="0422B443" w14:textId="77777777" w:rsidR="00F35DEC" w:rsidRPr="00F35DEC" w:rsidRDefault="00F35DEC" w:rsidP="00F35DEC">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ATDS: US government agency bonds.</w:t>
      </w:r>
    </w:p>
    <w:p w14:paraId="426A1EAB" w14:textId="77777777" w:rsidR="00F35DEC" w:rsidRPr="00F35DEC" w:rsidRDefault="00F35DEC" w:rsidP="00F35DEC">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SPDS: securitized products including asset-backed securities and mortgage-backed securities. WRDS separates SPDS by Sub-Product Type into </w:t>
      </w:r>
      <w:r w:rsidRPr="00F35DEC">
        <w:rPr>
          <w:rFonts w:ascii="Helvetica" w:eastAsia="Times New Roman" w:hAnsi="Helvetica" w:cs="Helvetica"/>
          <w:b/>
          <w:bCs/>
          <w:color w:val="212529"/>
          <w:kern w:val="0"/>
          <w14:ligatures w14:val="none"/>
        </w:rPr>
        <w:t>SPDS-ABS, SPDS-CMO, SPDS-MBS, SPDS-TBA</w:t>
      </w:r>
      <w:r w:rsidRPr="00F35DEC">
        <w:rPr>
          <w:rFonts w:ascii="Helvetica" w:eastAsia="Times New Roman" w:hAnsi="Helvetica" w:cs="Helvetica"/>
          <w:color w:val="212529"/>
          <w:kern w:val="0"/>
          <w14:ligatures w14:val="none"/>
        </w:rPr>
        <w:t>.</w:t>
      </w:r>
    </w:p>
    <w:p w14:paraId="7C276607" w14:textId="77777777" w:rsidR="00F35DEC" w:rsidRPr="00F35DEC" w:rsidRDefault="00F35DEC" w:rsidP="00F35DEC">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BTDS144A: corporate bonds falling under Rule 144a of the Securities Act of 1933.</w:t>
      </w:r>
    </w:p>
    <w:p w14:paraId="0E820791" w14:textId="77777777" w:rsidR="00F35DEC" w:rsidRPr="00F35DEC" w:rsidRDefault="00F35DEC" w:rsidP="00F35DEC">
      <w:pPr>
        <w:numPr>
          <w:ilvl w:val="0"/>
          <w:numId w:val="1"/>
        </w:numPr>
        <w:shd w:val="clear" w:color="auto" w:fill="FFFFFF"/>
        <w:spacing w:before="100" w:beforeAutospacing="1"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SPDS144A: securitized products falling under Rule 144a of the Securities Act of 1933.</w:t>
      </w:r>
    </w:p>
    <w:p w14:paraId="2D69043E"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Rule 144A covers securities that are not registered with the SEC, which may only be sold to </w:t>
      </w:r>
      <w:r w:rsidRPr="00F35DEC">
        <w:rPr>
          <w:rFonts w:ascii="Consolas" w:eastAsia="Times New Roman" w:hAnsi="Consolas" w:cs="Courier New"/>
          <w:color w:val="E83E8C"/>
          <w:kern w:val="0"/>
          <w:sz w:val="21"/>
          <w:szCs w:val="21"/>
          <w14:ligatures w14:val="none"/>
        </w:rPr>
        <w:t>qualified institutional buyers</w:t>
      </w:r>
      <w:r w:rsidRPr="00F35DEC">
        <w:rPr>
          <w:rFonts w:ascii="Helvetica" w:eastAsia="Times New Roman" w:hAnsi="Helvetica" w:cs="Helvetica"/>
          <w:color w:val="212529"/>
          <w:kern w:val="0"/>
          <w14:ligatures w14:val="none"/>
        </w:rPr>
        <w:t>.</w:t>
      </w:r>
    </w:p>
    <w:p w14:paraId="30D48BB3"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 xml:space="preserve">Three sets of data are available for each category: trade data, daily summary data and </w:t>
      </w:r>
      <w:proofErr w:type="spellStart"/>
      <w:r w:rsidRPr="00F35DEC">
        <w:rPr>
          <w:rFonts w:ascii="Helvetica" w:eastAsia="Times New Roman" w:hAnsi="Helvetica" w:cs="Helvetica"/>
          <w:color w:val="212529"/>
          <w:kern w:val="0"/>
          <w14:ligatures w14:val="none"/>
        </w:rPr>
        <w:t>masterfiles</w:t>
      </w:r>
      <w:proofErr w:type="spellEnd"/>
      <w:r w:rsidRPr="00F35DEC">
        <w:rPr>
          <w:rFonts w:ascii="Helvetica" w:eastAsia="Times New Roman" w:hAnsi="Helvetica" w:cs="Helvetica"/>
          <w:color w:val="212529"/>
          <w:kern w:val="0"/>
          <w14:ligatures w14:val="none"/>
        </w:rPr>
        <w:t xml:space="preserve">. </w:t>
      </w:r>
      <w:proofErr w:type="spellStart"/>
      <w:r w:rsidRPr="00F35DEC">
        <w:rPr>
          <w:rFonts w:ascii="Helvetica" w:eastAsia="Times New Roman" w:hAnsi="Helvetica" w:cs="Helvetica"/>
          <w:color w:val="212529"/>
          <w:kern w:val="0"/>
          <w14:ligatures w14:val="none"/>
        </w:rPr>
        <w:t>Masterfiles</w:t>
      </w:r>
      <w:proofErr w:type="spellEnd"/>
      <w:r w:rsidRPr="00F35DEC">
        <w:rPr>
          <w:rFonts w:ascii="Helvetica" w:eastAsia="Times New Roman" w:hAnsi="Helvetica" w:cs="Helvetica"/>
          <w:color w:val="212529"/>
          <w:kern w:val="0"/>
          <w14:ligatures w14:val="none"/>
        </w:rPr>
        <w:t xml:space="preserve"> are also used as the code lookup tables for the web query forms.</w:t>
      </w:r>
    </w:p>
    <w:p w14:paraId="65002F50"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 xml:space="preserve">WRDS purchases licenses to TRACE on behalf of our </w:t>
      </w:r>
      <w:proofErr w:type="gramStart"/>
      <w:r w:rsidRPr="00F35DEC">
        <w:rPr>
          <w:rFonts w:ascii="Helvetica" w:eastAsia="Times New Roman" w:hAnsi="Helvetica" w:cs="Helvetica"/>
          <w:color w:val="212529"/>
          <w:kern w:val="0"/>
          <w14:ligatures w14:val="none"/>
        </w:rPr>
        <w:t>subscribers</w:t>
      </w:r>
      <w:proofErr w:type="gramEnd"/>
      <w:r w:rsidRPr="00F35DEC">
        <w:rPr>
          <w:rFonts w:ascii="Helvetica" w:eastAsia="Times New Roman" w:hAnsi="Helvetica" w:cs="Helvetica"/>
          <w:color w:val="212529"/>
          <w:kern w:val="0"/>
          <w14:ligatures w14:val="none"/>
        </w:rPr>
        <w:t xml:space="preserve"> so </w:t>
      </w:r>
      <w:r w:rsidRPr="00F35DEC">
        <w:rPr>
          <w:rFonts w:ascii="Helvetica" w:eastAsia="Times New Roman" w:hAnsi="Helvetica" w:cs="Helvetica"/>
          <w:b/>
          <w:bCs/>
          <w:color w:val="212529"/>
          <w:kern w:val="0"/>
          <w14:ligatures w14:val="none"/>
        </w:rPr>
        <w:t>TRACE is free for all academics</w:t>
      </w:r>
      <w:r w:rsidRPr="00F35DEC">
        <w:rPr>
          <w:rFonts w:ascii="Helvetica" w:eastAsia="Times New Roman" w:hAnsi="Helvetica" w:cs="Helvetica"/>
          <w:color w:val="212529"/>
          <w:kern w:val="0"/>
          <w14:ligatures w14:val="none"/>
        </w:rPr>
        <w:t>.</w:t>
      </w:r>
    </w:p>
    <w:p w14:paraId="5101C27E" w14:textId="77777777" w:rsidR="00566502" w:rsidRDefault="00566502"/>
    <w:p w14:paraId="01ABA957" w14:textId="77777777" w:rsidR="00F35DEC" w:rsidRPr="00F35DEC" w:rsidRDefault="00F35DEC" w:rsidP="00F35DEC">
      <w:pPr>
        <w:spacing w:after="100" w:afterAutospacing="1" w:line="240" w:lineRule="auto"/>
        <w:outlineLvl w:val="1"/>
        <w:rPr>
          <w:rFonts w:ascii="Helvetica" w:eastAsia="Times New Roman" w:hAnsi="Helvetica" w:cs="Helvetica"/>
          <w:kern w:val="0"/>
          <w:sz w:val="36"/>
          <w:szCs w:val="36"/>
          <w14:ligatures w14:val="none"/>
        </w:rPr>
      </w:pPr>
      <w:r w:rsidRPr="00F35DEC">
        <w:rPr>
          <w:rFonts w:ascii="Helvetica" w:eastAsia="Times New Roman" w:hAnsi="Helvetica" w:cs="Helvetica"/>
          <w:kern w:val="0"/>
          <w:sz w:val="36"/>
          <w:szCs w:val="36"/>
          <w14:ligatures w14:val="none"/>
        </w:rPr>
        <w:t>Data Collection Process</w:t>
      </w:r>
    </w:p>
    <w:p w14:paraId="318C1831"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FINRA is a self-regulatory organization. It is a non-</w:t>
      </w:r>
      <w:proofErr w:type="spellStart"/>
      <w:r w:rsidRPr="00F35DEC">
        <w:rPr>
          <w:rFonts w:ascii="Helvetica" w:eastAsia="Times New Roman" w:hAnsi="Helvetica" w:cs="Helvetica"/>
          <w:color w:val="212529"/>
          <w:kern w:val="0"/>
          <w14:ligatures w14:val="none"/>
        </w:rPr>
        <w:t>govermental</w:t>
      </w:r>
      <w:proofErr w:type="spellEnd"/>
      <w:r w:rsidRPr="00F35DEC">
        <w:rPr>
          <w:rFonts w:ascii="Helvetica" w:eastAsia="Times New Roman" w:hAnsi="Helvetica" w:cs="Helvetica"/>
          <w:color w:val="212529"/>
          <w:kern w:val="0"/>
          <w14:ligatures w14:val="none"/>
        </w:rPr>
        <w:t xml:space="preserve"> organization that governs US brokers. All transactions of securities in the categories above must be reported to FINRA within a specified timeframe.</w:t>
      </w:r>
    </w:p>
    <w:p w14:paraId="6488EE1E" w14:textId="77777777" w:rsidR="00F35DEC" w:rsidRPr="00F35DEC" w:rsidRDefault="00F35DEC" w:rsidP="00F35DEC">
      <w:pPr>
        <w:spacing w:after="100" w:afterAutospacing="1" w:line="240" w:lineRule="auto"/>
        <w:outlineLvl w:val="1"/>
        <w:rPr>
          <w:rFonts w:ascii="Helvetica" w:eastAsia="Times New Roman" w:hAnsi="Helvetica" w:cs="Helvetica"/>
          <w:kern w:val="0"/>
          <w:sz w:val="36"/>
          <w:szCs w:val="36"/>
          <w14:ligatures w14:val="none"/>
        </w:rPr>
      </w:pPr>
      <w:r w:rsidRPr="00F35DEC">
        <w:rPr>
          <w:rFonts w:ascii="Helvetica" w:eastAsia="Times New Roman" w:hAnsi="Helvetica" w:cs="Helvetica"/>
          <w:kern w:val="0"/>
          <w:sz w:val="36"/>
          <w:szCs w:val="36"/>
          <w14:ligatures w14:val="none"/>
        </w:rPr>
        <w:lastRenderedPageBreak/>
        <w:t>Difference between TRACE Standard, TRACE Enhanced, TRACE Academic</w:t>
      </w:r>
    </w:p>
    <w:p w14:paraId="7423EC68" w14:textId="77777777" w:rsidR="00F35DEC" w:rsidRPr="00F35DEC" w:rsidRDefault="00F35DEC" w:rsidP="00F35D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Standard contains the real time data messages that are disseminated/broadcasted by FINRA to authorized market data vendors. Enhanced contains the historical reproduction of all transactional data reported to TRACE.</w:t>
      </w:r>
    </w:p>
    <w:p w14:paraId="2131471F" w14:textId="77777777" w:rsidR="00F35DEC" w:rsidRPr="00F35DEC" w:rsidRDefault="00F35DEC" w:rsidP="00F35D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 xml:space="preserve">Enhanced includes more transactions than Standard. Standard is the real-time data in which FINRA only disseminated the sell side of the inter-dealer trade. In Enhanced, FINRA </w:t>
      </w:r>
      <w:proofErr w:type="gramStart"/>
      <w:r w:rsidRPr="00F35DEC">
        <w:rPr>
          <w:rFonts w:ascii="Times New Roman" w:eastAsia="Times New Roman" w:hAnsi="Times New Roman" w:cs="Times New Roman"/>
          <w:kern w:val="0"/>
          <w14:ligatures w14:val="none"/>
        </w:rPr>
        <w:t>display</w:t>
      </w:r>
      <w:proofErr w:type="gramEnd"/>
      <w:r w:rsidRPr="00F35DEC">
        <w:rPr>
          <w:rFonts w:ascii="Times New Roman" w:eastAsia="Times New Roman" w:hAnsi="Times New Roman" w:cs="Times New Roman"/>
          <w:kern w:val="0"/>
          <w14:ligatures w14:val="none"/>
        </w:rPr>
        <w:t xml:space="preserve"> both sides (though they should match).</w:t>
      </w:r>
    </w:p>
    <w:p w14:paraId="7A82351E" w14:textId="77777777" w:rsidR="00F35DEC" w:rsidRPr="00F35DEC" w:rsidRDefault="00F35DEC" w:rsidP="00F35D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Enhanced reports the actual value of </w:t>
      </w:r>
      <w:r w:rsidRPr="00F35DEC">
        <w:rPr>
          <w:rFonts w:ascii="Consolas" w:eastAsia="Times New Roman" w:hAnsi="Consolas" w:cs="Courier New"/>
          <w:color w:val="E83E8C"/>
          <w:kern w:val="0"/>
          <w:sz w:val="21"/>
          <w:szCs w:val="21"/>
          <w14:ligatures w14:val="none"/>
        </w:rPr>
        <w:t>Quantity</w:t>
      </w:r>
      <w:r w:rsidRPr="00F35DEC">
        <w:rPr>
          <w:rFonts w:ascii="Times New Roman" w:eastAsia="Times New Roman" w:hAnsi="Times New Roman" w:cs="Times New Roman"/>
          <w:kern w:val="0"/>
          <w14:ligatures w14:val="none"/>
        </w:rPr>
        <w:t>, which is capped in Standard. Standard TRACE uses </w:t>
      </w:r>
      <w:r w:rsidRPr="00F35DEC">
        <w:rPr>
          <w:rFonts w:ascii="Consolas" w:eastAsia="Times New Roman" w:hAnsi="Consolas" w:cs="Courier New"/>
          <w:color w:val="E83E8C"/>
          <w:kern w:val="0"/>
          <w:sz w:val="21"/>
          <w:szCs w:val="21"/>
          <w14:ligatures w14:val="none"/>
        </w:rPr>
        <w:t>MM+</w:t>
      </w:r>
      <w:r w:rsidRPr="00F35DEC">
        <w:rPr>
          <w:rFonts w:ascii="Times New Roman" w:eastAsia="Times New Roman" w:hAnsi="Times New Roman" w:cs="Times New Roman"/>
          <w:kern w:val="0"/>
          <w14:ligatures w14:val="none"/>
        </w:rPr>
        <w:t xml:space="preserve"> for transactions of high yield bonds with a value of more than $1 million or transactions of investment grade bonds with a value more than $5 </w:t>
      </w:r>
      <w:proofErr w:type="gramStart"/>
      <w:r w:rsidRPr="00F35DEC">
        <w:rPr>
          <w:rFonts w:ascii="Times New Roman" w:eastAsia="Times New Roman" w:hAnsi="Times New Roman" w:cs="Times New Roman"/>
          <w:kern w:val="0"/>
          <w14:ligatures w14:val="none"/>
        </w:rPr>
        <w:t>million .</w:t>
      </w:r>
      <w:proofErr w:type="gramEnd"/>
    </w:p>
    <w:p w14:paraId="703CBD53" w14:textId="77777777" w:rsidR="00F35DEC" w:rsidRPr="00F35DEC" w:rsidRDefault="00F35DEC" w:rsidP="00F35D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Standard is updated quarterly, with data from the quarter that just ended. Enhanced is updated quarterly with data from the quarter ending 6 months prior (a 6-month lag).</w:t>
      </w:r>
    </w:p>
    <w:p w14:paraId="65381C0D" w14:textId="77777777" w:rsidR="00F35DEC" w:rsidRPr="00F35DEC" w:rsidRDefault="00F35DEC" w:rsidP="00F35DE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 xml:space="preserve">TRACE Enhanced Data shows uncapped </w:t>
      </w:r>
      <w:proofErr w:type="gramStart"/>
      <w:r w:rsidRPr="00F35DEC">
        <w:rPr>
          <w:rFonts w:ascii="Times New Roman" w:eastAsia="Times New Roman" w:hAnsi="Times New Roman" w:cs="Times New Roman"/>
          <w:kern w:val="0"/>
          <w14:ligatures w14:val="none"/>
        </w:rPr>
        <w:t>size</w:t>
      </w:r>
      <w:proofErr w:type="gramEnd"/>
      <w:r w:rsidRPr="00F35DEC">
        <w:rPr>
          <w:rFonts w:ascii="Times New Roman" w:eastAsia="Times New Roman" w:hAnsi="Times New Roman" w:cs="Times New Roman"/>
          <w:kern w:val="0"/>
          <w14:ligatures w14:val="none"/>
        </w:rPr>
        <w:t xml:space="preserve"> and it can be redistributed. TRACE Academic Data is the most comprehensive set that FINRA has as it contains Masked IDs for Participants as an extra field. It is for internal use only and cannot be redistributed.</w:t>
      </w:r>
    </w:p>
    <w:p w14:paraId="34990527" w14:textId="77777777" w:rsidR="00F35DEC" w:rsidRPr="00F35DEC" w:rsidRDefault="00F35DEC" w:rsidP="00F35DEC">
      <w:pPr>
        <w:spacing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WRDS carries all Standard TRACE categories (BTDS, ATDS, SPDS, BTDS144A, SPDS144A). Detailed documentation can be found at: </w:t>
      </w:r>
      <w:hyperlink r:id="rId5" w:history="1">
        <w:r w:rsidRPr="00F35DEC">
          <w:rPr>
            <w:rFonts w:ascii="Times New Roman" w:eastAsia="Times New Roman" w:hAnsi="Times New Roman" w:cs="Times New Roman"/>
            <w:color w:val="004785"/>
            <w:kern w:val="0"/>
            <w:u w:val="single"/>
            <w14:ligatures w14:val="none"/>
          </w:rPr>
          <w:t>https://www.finra.org/filing-reporting/trace/documentation</w:t>
        </w:r>
      </w:hyperlink>
      <w:r w:rsidRPr="00F35DEC">
        <w:rPr>
          <w:rFonts w:ascii="Times New Roman" w:eastAsia="Times New Roman" w:hAnsi="Times New Roman" w:cs="Times New Roman"/>
          <w:kern w:val="0"/>
          <w14:ligatures w14:val="none"/>
        </w:rPr>
        <w:t>), under Dissemination.</w:t>
      </w:r>
    </w:p>
    <w:p w14:paraId="6D676841" w14:textId="77777777" w:rsidR="00F35DEC" w:rsidRPr="00F35DEC" w:rsidRDefault="00F35DEC" w:rsidP="00F35DEC">
      <w:pPr>
        <w:spacing w:after="100" w:afterAutospacing="1" w:line="240" w:lineRule="auto"/>
        <w:rPr>
          <w:rFonts w:ascii="Times New Roman" w:eastAsia="Times New Roman" w:hAnsi="Times New Roman" w:cs="Times New Roman"/>
          <w:kern w:val="0"/>
          <w14:ligatures w14:val="none"/>
        </w:rPr>
      </w:pPr>
      <w:r w:rsidRPr="00F35DEC">
        <w:rPr>
          <w:rFonts w:ascii="Times New Roman" w:eastAsia="Times New Roman" w:hAnsi="Times New Roman" w:cs="Times New Roman"/>
          <w:kern w:val="0"/>
          <w14:ligatures w14:val="none"/>
        </w:rPr>
        <w:t>WRDS carries the Enhanced version of only corporate bonds - BTDS.</w:t>
      </w:r>
    </w:p>
    <w:p w14:paraId="33178392" w14:textId="77777777" w:rsidR="00F35DEC" w:rsidRPr="00F35DEC" w:rsidRDefault="00F35DEC" w:rsidP="00F35DEC">
      <w:pPr>
        <w:spacing w:after="100" w:afterAutospacing="1" w:line="240" w:lineRule="auto"/>
        <w:jc w:val="right"/>
        <w:rPr>
          <w:rFonts w:ascii="Times New Roman" w:eastAsia="Times New Roman" w:hAnsi="Times New Roman" w:cs="Times New Roman"/>
          <w:kern w:val="0"/>
          <w14:ligatures w14:val="none"/>
        </w:rPr>
      </w:pPr>
      <w:hyperlink r:id="rId6" w:anchor="difference-between-trace-standard-trace-enhanced-trace-academic" w:history="1">
        <w:r w:rsidRPr="00F35DEC">
          <w:rPr>
            <w:rFonts w:ascii="Times New Roman" w:eastAsia="Times New Roman" w:hAnsi="Times New Roman" w:cs="Times New Roman"/>
            <w:color w:val="FFFFFF"/>
            <w:kern w:val="0"/>
            <w:u w:val="single"/>
            <w:bdr w:val="single" w:sz="6" w:space="0" w:color="004785" w:frame="1"/>
            <w:shd w:val="clear" w:color="auto" w:fill="004785"/>
            <w14:ligatures w14:val="none"/>
          </w:rPr>
          <w:t>Top of Section</w:t>
        </w:r>
      </w:hyperlink>
    </w:p>
    <w:p w14:paraId="18EFD4F5" w14:textId="77777777" w:rsidR="00F35DEC" w:rsidRDefault="00F35DEC"/>
    <w:p w14:paraId="0FB49693" w14:textId="77777777" w:rsidR="00F35DEC" w:rsidRPr="00F35DEC" w:rsidRDefault="00F35DEC" w:rsidP="00F35DEC">
      <w:pPr>
        <w:spacing w:after="100" w:afterAutospacing="1" w:line="240" w:lineRule="auto"/>
        <w:outlineLvl w:val="1"/>
        <w:rPr>
          <w:rFonts w:ascii="Helvetica" w:eastAsia="Times New Roman" w:hAnsi="Helvetica" w:cs="Helvetica"/>
          <w:kern w:val="0"/>
          <w:sz w:val="36"/>
          <w:szCs w:val="36"/>
          <w14:ligatures w14:val="none"/>
        </w:rPr>
      </w:pPr>
      <w:r w:rsidRPr="00F35DEC">
        <w:rPr>
          <w:rFonts w:ascii="Helvetica" w:eastAsia="Times New Roman" w:hAnsi="Helvetica" w:cs="Helvetica"/>
          <w:kern w:val="0"/>
          <w:sz w:val="36"/>
          <w:szCs w:val="36"/>
          <w14:ligatures w14:val="none"/>
        </w:rPr>
        <w:t>Additional Documentation Files</w:t>
      </w:r>
    </w:p>
    <w:p w14:paraId="1E0135A9" w14:textId="77777777" w:rsidR="00F35DEC" w:rsidRPr="00F35DEC" w:rsidRDefault="00F35DEC" w:rsidP="00F35DEC">
      <w:pPr>
        <w:shd w:val="clear" w:color="auto" w:fill="FFFFFF"/>
        <w:spacing w:after="100" w:afterAutospacing="1" w:line="240" w:lineRule="auto"/>
        <w:outlineLvl w:val="2"/>
        <w:rPr>
          <w:rFonts w:ascii="Helvetica" w:eastAsia="Times New Roman" w:hAnsi="Helvetica" w:cs="Helvetica"/>
          <w:color w:val="212529"/>
          <w:kern w:val="0"/>
          <w:sz w:val="27"/>
          <w:szCs w:val="27"/>
          <w14:ligatures w14:val="none"/>
        </w:rPr>
      </w:pPr>
      <w:r w:rsidRPr="00F35DEC">
        <w:rPr>
          <w:rFonts w:ascii="Helvetica" w:eastAsia="Times New Roman" w:hAnsi="Helvetica" w:cs="Helvetica"/>
          <w:color w:val="212529"/>
          <w:kern w:val="0"/>
          <w:sz w:val="27"/>
          <w:szCs w:val="27"/>
          <w14:ligatures w14:val="none"/>
        </w:rPr>
        <w:t>For TRACE Standard Data</w:t>
      </w:r>
    </w:p>
    <w:p w14:paraId="2F7446F9"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color w:val="212529"/>
          <w:kern w:val="0"/>
          <w14:ligatures w14:val="none"/>
        </w:rPr>
        <w:t>We use the information in the specification files listed on </w:t>
      </w:r>
      <w:hyperlink r:id="rId7" w:history="1">
        <w:r w:rsidRPr="00F35DEC">
          <w:rPr>
            <w:rFonts w:ascii="Helvetica" w:eastAsia="Times New Roman" w:hAnsi="Helvetica" w:cs="Helvetica"/>
            <w:color w:val="004785"/>
            <w:kern w:val="0"/>
            <w:u w:val="single"/>
            <w14:ligatures w14:val="none"/>
          </w:rPr>
          <w:t>https://www.finra.org/filing-reporting/trace/documentation</w:t>
        </w:r>
      </w:hyperlink>
      <w:r w:rsidRPr="00F35DEC">
        <w:rPr>
          <w:rFonts w:ascii="Helvetica" w:eastAsia="Times New Roman" w:hAnsi="Helvetica" w:cs="Helvetica"/>
          <w:color w:val="212529"/>
          <w:kern w:val="0"/>
          <w14:ligatures w14:val="none"/>
        </w:rPr>
        <w:t>, under </w:t>
      </w:r>
      <w:r w:rsidRPr="00F35DEC">
        <w:rPr>
          <w:rFonts w:ascii="Helvetica" w:eastAsia="Times New Roman" w:hAnsi="Helvetica" w:cs="Helvetica"/>
          <w:b/>
          <w:bCs/>
          <w:color w:val="212529"/>
          <w:kern w:val="0"/>
          <w14:ligatures w14:val="none"/>
        </w:rPr>
        <w:t>Dissemination (</w:t>
      </w:r>
      <w:r w:rsidRPr="00F35DEC">
        <w:rPr>
          <w:rFonts w:ascii="Helvetica" w:eastAsia="Times New Roman" w:hAnsi="Helvetica" w:cs="Helvetica"/>
          <w:color w:val="212529"/>
          <w:kern w:val="0"/>
          <w14:ligatures w14:val="none"/>
        </w:rPr>
        <w:t>an example is shown in the picture below), to read in the raw data files received from FINRA.</w:t>
      </w:r>
    </w:p>
    <w:p w14:paraId="1AD3893D" w14:textId="77777777" w:rsidR="00F35DEC" w:rsidRPr="00F35DEC" w:rsidRDefault="00F35DEC" w:rsidP="00F35DEC">
      <w:pPr>
        <w:shd w:val="clear" w:color="auto" w:fill="FFFFFF"/>
        <w:spacing w:after="100" w:afterAutospacing="1" w:line="240" w:lineRule="auto"/>
        <w:rPr>
          <w:rFonts w:ascii="Helvetica" w:eastAsia="Times New Roman" w:hAnsi="Helvetica" w:cs="Helvetica"/>
          <w:color w:val="212529"/>
          <w:kern w:val="0"/>
          <w14:ligatures w14:val="none"/>
        </w:rPr>
      </w:pPr>
      <w:r w:rsidRPr="00F35DEC">
        <w:rPr>
          <w:rFonts w:ascii="Helvetica" w:eastAsia="Times New Roman" w:hAnsi="Helvetica" w:cs="Helvetica"/>
          <w:b/>
          <w:bCs/>
          <w:color w:val="212529"/>
          <w:kern w:val="0"/>
          <w14:ligatures w14:val="none"/>
        </w:rPr>
        <w:t xml:space="preserve">The layouts of the data changed over </w:t>
      </w:r>
      <w:proofErr w:type="gramStart"/>
      <w:r w:rsidRPr="00F35DEC">
        <w:rPr>
          <w:rFonts w:ascii="Helvetica" w:eastAsia="Times New Roman" w:hAnsi="Helvetica" w:cs="Helvetica"/>
          <w:b/>
          <w:bCs/>
          <w:color w:val="212529"/>
          <w:kern w:val="0"/>
          <w14:ligatures w14:val="none"/>
        </w:rPr>
        <w:t>time</w:t>
      </w:r>
      <w:proofErr w:type="gramEnd"/>
      <w:r w:rsidRPr="00F35DEC">
        <w:rPr>
          <w:rFonts w:ascii="Helvetica" w:eastAsia="Times New Roman" w:hAnsi="Helvetica" w:cs="Helvetica"/>
          <w:b/>
          <w:bCs/>
          <w:color w:val="212529"/>
          <w:kern w:val="0"/>
          <w14:ligatures w14:val="none"/>
        </w:rPr>
        <w:t xml:space="preserve"> and they are shown in different versions of specification files</w:t>
      </w:r>
      <w:r w:rsidRPr="00F35DEC">
        <w:rPr>
          <w:rFonts w:ascii="Helvetica" w:eastAsia="Times New Roman" w:hAnsi="Helvetica" w:cs="Helvetica"/>
          <w:color w:val="212529"/>
          <w:kern w:val="0"/>
          <w14:ligatures w14:val="none"/>
        </w:rPr>
        <w:t>. To understand the </w:t>
      </w:r>
      <w:r w:rsidRPr="00F35DEC">
        <w:rPr>
          <w:rFonts w:ascii="Helvetica" w:eastAsia="Times New Roman" w:hAnsi="Helvetica" w:cs="Helvetica"/>
          <w:b/>
          <w:bCs/>
          <w:color w:val="212529"/>
          <w:kern w:val="0"/>
          <w14:ligatures w14:val="none"/>
        </w:rPr>
        <w:t>coding of a variable</w:t>
      </w:r>
      <w:r w:rsidRPr="00F35DEC">
        <w:rPr>
          <w:rFonts w:ascii="Helvetica" w:eastAsia="Times New Roman" w:hAnsi="Helvetica" w:cs="Helvetica"/>
          <w:color w:val="212529"/>
          <w:kern w:val="0"/>
          <w14:ligatures w14:val="none"/>
        </w:rPr>
        <w:t> for a certain transaction record, users will need to consult the right version of the specification files. The easiest way will be to start from the </w:t>
      </w:r>
      <w:r w:rsidRPr="00F35DEC">
        <w:rPr>
          <w:rFonts w:ascii="Helvetica" w:eastAsia="Times New Roman" w:hAnsi="Helvetica" w:cs="Helvetica"/>
          <w:b/>
          <w:bCs/>
          <w:color w:val="212529"/>
          <w:kern w:val="0"/>
          <w14:ligatures w14:val="none"/>
        </w:rPr>
        <w:t>latest version</w:t>
      </w:r>
      <w:r w:rsidRPr="00F35DEC">
        <w:rPr>
          <w:rFonts w:ascii="Helvetica" w:eastAsia="Times New Roman" w:hAnsi="Helvetica" w:cs="Helvetica"/>
          <w:color w:val="212529"/>
          <w:kern w:val="0"/>
          <w14:ligatures w14:val="none"/>
        </w:rPr>
        <w:t> and look for the variable in </w:t>
      </w:r>
      <w:r w:rsidRPr="00F35DEC">
        <w:rPr>
          <w:rFonts w:ascii="Consolas" w:eastAsia="Times New Roman" w:hAnsi="Consolas" w:cs="Courier New"/>
          <w:color w:val="E83E8C"/>
          <w:kern w:val="0"/>
          <w:sz w:val="21"/>
          <w:szCs w:val="21"/>
          <w14:ligatures w14:val="none"/>
        </w:rPr>
        <w:t>Field Description</w:t>
      </w:r>
      <w:r w:rsidRPr="00F35DEC">
        <w:rPr>
          <w:rFonts w:ascii="Helvetica" w:eastAsia="Times New Roman" w:hAnsi="Helvetica" w:cs="Helvetica"/>
          <w:color w:val="212529"/>
          <w:kern w:val="0"/>
          <w14:ligatures w14:val="none"/>
        </w:rPr>
        <w:t> and use the dissemination date of the record and the dates in the </w:t>
      </w:r>
      <w:r w:rsidRPr="00F35DEC">
        <w:rPr>
          <w:rFonts w:ascii="Helvetica" w:eastAsia="Times New Roman" w:hAnsi="Helvetica" w:cs="Helvetica"/>
          <w:b/>
          <w:bCs/>
          <w:color w:val="212529"/>
          <w:kern w:val="0"/>
          <w14:ligatures w14:val="none"/>
        </w:rPr>
        <w:t>appendix</w:t>
      </w:r>
      <w:r w:rsidRPr="00F35DEC">
        <w:rPr>
          <w:rFonts w:ascii="Helvetica" w:eastAsia="Times New Roman" w:hAnsi="Helvetica" w:cs="Helvetica"/>
          <w:color w:val="212529"/>
          <w:kern w:val="0"/>
          <w14:ligatures w14:val="none"/>
        </w:rPr>
        <w:t> “</w:t>
      </w:r>
      <w:r w:rsidRPr="00F35DEC">
        <w:rPr>
          <w:rFonts w:ascii="Helvetica" w:eastAsia="Times New Roman" w:hAnsi="Helvetica" w:cs="Helvetica"/>
          <w:b/>
          <w:bCs/>
          <w:color w:val="212529"/>
          <w:kern w:val="0"/>
          <w14:ligatures w14:val="none"/>
        </w:rPr>
        <w:t>Document Revision Log</w:t>
      </w:r>
      <w:r w:rsidRPr="00F35DEC">
        <w:rPr>
          <w:rFonts w:ascii="Helvetica" w:eastAsia="Times New Roman" w:hAnsi="Helvetica" w:cs="Helvetica"/>
          <w:color w:val="212529"/>
          <w:kern w:val="0"/>
          <w14:ligatures w14:val="none"/>
        </w:rPr>
        <w:t>” to locate the right version of the specification files.</w:t>
      </w:r>
    </w:p>
    <w:p w14:paraId="3A4C1F66" w14:textId="77777777" w:rsidR="00F35DEC" w:rsidRDefault="00F35DEC"/>
    <w:sectPr w:rsidR="00F35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E1B"/>
    <w:multiLevelType w:val="multilevel"/>
    <w:tmpl w:val="A06A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00C3D"/>
    <w:multiLevelType w:val="multilevel"/>
    <w:tmpl w:val="66F6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821886">
    <w:abstractNumId w:val="1"/>
  </w:num>
  <w:num w:numId="2" w16cid:durableId="158525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EC"/>
    <w:rsid w:val="00434D8C"/>
    <w:rsid w:val="00566502"/>
    <w:rsid w:val="00763DC7"/>
    <w:rsid w:val="00C665E4"/>
    <w:rsid w:val="00F35D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2307"/>
  <w15:chartTrackingRefBased/>
  <w15:docId w15:val="{E464EFB8-A8AA-4D90-944A-F5C6DDD0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5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D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5D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EC"/>
    <w:rPr>
      <w:rFonts w:eastAsiaTheme="majorEastAsia" w:cstheme="majorBidi"/>
      <w:color w:val="272727" w:themeColor="text1" w:themeTint="D8"/>
    </w:rPr>
  </w:style>
  <w:style w:type="paragraph" w:styleId="Title">
    <w:name w:val="Title"/>
    <w:basedOn w:val="Normal"/>
    <w:next w:val="Normal"/>
    <w:link w:val="TitleChar"/>
    <w:uiPriority w:val="10"/>
    <w:qFormat/>
    <w:rsid w:val="00F35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EC"/>
    <w:pPr>
      <w:spacing w:before="160"/>
      <w:jc w:val="center"/>
    </w:pPr>
    <w:rPr>
      <w:i/>
      <w:iCs/>
      <w:color w:val="404040" w:themeColor="text1" w:themeTint="BF"/>
    </w:rPr>
  </w:style>
  <w:style w:type="character" w:customStyle="1" w:styleId="QuoteChar">
    <w:name w:val="Quote Char"/>
    <w:basedOn w:val="DefaultParagraphFont"/>
    <w:link w:val="Quote"/>
    <w:uiPriority w:val="29"/>
    <w:rsid w:val="00F35DEC"/>
    <w:rPr>
      <w:i/>
      <w:iCs/>
      <w:color w:val="404040" w:themeColor="text1" w:themeTint="BF"/>
    </w:rPr>
  </w:style>
  <w:style w:type="paragraph" w:styleId="ListParagraph">
    <w:name w:val="List Paragraph"/>
    <w:basedOn w:val="Normal"/>
    <w:uiPriority w:val="34"/>
    <w:qFormat/>
    <w:rsid w:val="00F35DEC"/>
    <w:pPr>
      <w:ind w:left="720"/>
      <w:contextualSpacing/>
    </w:pPr>
  </w:style>
  <w:style w:type="character" w:styleId="IntenseEmphasis">
    <w:name w:val="Intense Emphasis"/>
    <w:basedOn w:val="DefaultParagraphFont"/>
    <w:uiPriority w:val="21"/>
    <w:qFormat/>
    <w:rsid w:val="00F35DEC"/>
    <w:rPr>
      <w:i/>
      <w:iCs/>
      <w:color w:val="0F4761" w:themeColor="accent1" w:themeShade="BF"/>
    </w:rPr>
  </w:style>
  <w:style w:type="paragraph" w:styleId="IntenseQuote">
    <w:name w:val="Intense Quote"/>
    <w:basedOn w:val="Normal"/>
    <w:next w:val="Normal"/>
    <w:link w:val="IntenseQuoteChar"/>
    <w:uiPriority w:val="30"/>
    <w:qFormat/>
    <w:rsid w:val="00F35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EC"/>
    <w:rPr>
      <w:i/>
      <w:iCs/>
      <w:color w:val="0F4761" w:themeColor="accent1" w:themeShade="BF"/>
    </w:rPr>
  </w:style>
  <w:style w:type="character" w:styleId="IntenseReference">
    <w:name w:val="Intense Reference"/>
    <w:basedOn w:val="DefaultParagraphFont"/>
    <w:uiPriority w:val="32"/>
    <w:qFormat/>
    <w:rsid w:val="00F35DEC"/>
    <w:rPr>
      <w:b/>
      <w:bCs/>
      <w:smallCaps/>
      <w:color w:val="0F4761" w:themeColor="accent1" w:themeShade="BF"/>
      <w:spacing w:val="5"/>
    </w:rPr>
  </w:style>
  <w:style w:type="paragraph" w:customStyle="1" w:styleId="lead">
    <w:name w:val="lead"/>
    <w:basedOn w:val="Normal"/>
    <w:rsid w:val="00F35DE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35D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5DEC"/>
    <w:rPr>
      <w:b/>
      <w:bCs/>
    </w:rPr>
  </w:style>
  <w:style w:type="character" w:styleId="HTMLCode">
    <w:name w:val="HTML Code"/>
    <w:basedOn w:val="DefaultParagraphFont"/>
    <w:uiPriority w:val="99"/>
    <w:semiHidden/>
    <w:unhideWhenUsed/>
    <w:rsid w:val="00F35D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35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3369">
      <w:bodyDiv w:val="1"/>
      <w:marLeft w:val="0"/>
      <w:marRight w:val="0"/>
      <w:marTop w:val="0"/>
      <w:marBottom w:val="0"/>
      <w:divBdr>
        <w:top w:val="none" w:sz="0" w:space="0" w:color="auto"/>
        <w:left w:val="none" w:sz="0" w:space="0" w:color="auto"/>
        <w:bottom w:val="none" w:sz="0" w:space="0" w:color="auto"/>
        <w:right w:val="none" w:sz="0" w:space="0" w:color="auto"/>
      </w:divBdr>
    </w:div>
    <w:div w:id="882401405">
      <w:bodyDiv w:val="1"/>
      <w:marLeft w:val="0"/>
      <w:marRight w:val="0"/>
      <w:marTop w:val="0"/>
      <w:marBottom w:val="0"/>
      <w:divBdr>
        <w:top w:val="none" w:sz="0" w:space="0" w:color="auto"/>
        <w:left w:val="none" w:sz="0" w:space="0" w:color="auto"/>
        <w:bottom w:val="none" w:sz="0" w:space="0" w:color="auto"/>
        <w:right w:val="none" w:sz="0" w:space="0" w:color="auto"/>
      </w:divBdr>
    </w:div>
    <w:div w:id="1810439499">
      <w:bodyDiv w:val="1"/>
      <w:marLeft w:val="0"/>
      <w:marRight w:val="0"/>
      <w:marTop w:val="0"/>
      <w:marBottom w:val="0"/>
      <w:divBdr>
        <w:top w:val="none" w:sz="0" w:space="0" w:color="auto"/>
        <w:left w:val="none" w:sz="0" w:space="0" w:color="auto"/>
        <w:bottom w:val="none" w:sz="0" w:space="0" w:color="auto"/>
        <w:right w:val="none" w:sz="0" w:space="0" w:color="auto"/>
      </w:divBdr>
    </w:div>
    <w:div w:id="182989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ra.org/filing-reporting/trace/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rds-www-wharton-upenn-edu.proxy.library.cornell.edu/pages/support/manuals-and-overviews/trace/wrds-overview-trace/" TargetMode="External"/><Relationship Id="rId5" Type="http://schemas.openxmlformats.org/officeDocument/2006/relationships/hyperlink" Target="https://www.finra.org/filing-reporting/trace/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Daham Kim</dc:creator>
  <cp:keywords/>
  <dc:description/>
  <cp:lastModifiedBy>Daham Kim</cp:lastModifiedBy>
  <cp:revision>1</cp:revision>
  <dcterms:created xsi:type="dcterms:W3CDTF">2024-02-11T05:11:00Z</dcterms:created>
  <dcterms:modified xsi:type="dcterms:W3CDTF">2024-02-11T05:13:00Z</dcterms:modified>
</cp:coreProperties>
</file>