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tbl>
      <w:tblPr>
        <w:tblW w:w="8522" w:type="dxa"/>
        <w:tblLayout w:type="fixed"/>
        <w:tblLook w:val="04A0"/>
      </w:tblPr>
      <w:tblGrid>
        <w:gridCol w:w="4261"/>
        <w:gridCol w:w="4261"/>
      </w:tblGrid>
      <w:tr w:rsidR="00DC6739">
        <w:tc>
          <w:tcPr>
            <w:tcW w:w="4261" w:type="dxa"/>
          </w:tcPr>
          <w:p w:rsidR="00DC6739" w:rsidRDefault="00F51A60" w:rsidP="003D5F9E">
            <w:pPr>
              <w:spacing w:beforeLines="50" w:afterLines="50" w:line="400" w:lineRule="exact"/>
              <w:rPr>
                <w:bCs/>
                <w:iCs/>
                <w:sz w:val="24"/>
              </w:rPr>
            </w:pPr>
            <w:r>
              <w:rPr>
                <w:bCs/>
                <w:iCs/>
                <w:sz w:val="24"/>
              </w:rPr>
              <w:t>证券代码</w:t>
            </w:r>
            <w:r>
              <w:rPr>
                <w:rFonts w:hint="eastAsia"/>
                <w:bCs/>
                <w:iCs/>
                <w:sz w:val="24"/>
              </w:rPr>
              <w:t>：</w:t>
            </w:r>
            <w:r>
              <w:rPr>
                <w:bCs/>
                <w:iCs/>
                <w:sz w:val="24"/>
              </w:rPr>
              <w:t>002714</w:t>
            </w:r>
          </w:p>
        </w:tc>
        <w:tc>
          <w:tcPr>
            <w:tcW w:w="4261" w:type="dxa"/>
          </w:tcPr>
          <w:p w:rsidR="00DC6739" w:rsidRDefault="00F51A60" w:rsidP="003D5F9E">
            <w:pPr>
              <w:spacing w:beforeLines="50" w:afterLines="50" w:line="400" w:lineRule="exact"/>
              <w:jc w:val="right"/>
              <w:rPr>
                <w:bCs/>
                <w:iCs/>
                <w:sz w:val="24"/>
              </w:rPr>
            </w:pPr>
            <w:r>
              <w:rPr>
                <w:bCs/>
                <w:iCs/>
                <w:sz w:val="24"/>
              </w:rPr>
              <w:t>证券简称：牧原股份</w:t>
            </w:r>
          </w:p>
        </w:tc>
      </w:tr>
    </w:tbl>
    <w:p w:rsidR="00DC6739" w:rsidRDefault="00DC6739" w:rsidP="003D5F9E">
      <w:pPr>
        <w:spacing w:beforeLines="50" w:afterLines="50" w:line="400" w:lineRule="exact"/>
        <w:rPr>
          <w:bCs/>
          <w:iCs/>
          <w:sz w:val="24"/>
        </w:rPr>
      </w:pPr>
    </w:p>
    <w:p w:rsidR="00DC6739" w:rsidRDefault="00F51A60" w:rsidP="003D5F9E">
      <w:pPr>
        <w:spacing w:beforeLines="50" w:afterLines="50" w:line="400" w:lineRule="exact"/>
        <w:jc w:val="center"/>
        <w:rPr>
          <w:b/>
          <w:bCs/>
          <w:iCs/>
          <w:sz w:val="36"/>
          <w:szCs w:val="24"/>
        </w:rPr>
      </w:pPr>
      <w:r>
        <w:rPr>
          <w:b/>
          <w:bCs/>
          <w:iCs/>
          <w:sz w:val="36"/>
          <w:szCs w:val="24"/>
        </w:rPr>
        <w:t>牧原食品股份有限公司</w:t>
      </w:r>
    </w:p>
    <w:p w:rsidR="00DC6739" w:rsidRDefault="00F51A60" w:rsidP="003D5F9E">
      <w:pPr>
        <w:spacing w:beforeLines="50" w:afterLines="50" w:line="400" w:lineRule="exact"/>
        <w:jc w:val="center"/>
        <w:rPr>
          <w:b/>
          <w:bCs/>
          <w:iCs/>
          <w:sz w:val="36"/>
          <w:szCs w:val="24"/>
        </w:rPr>
      </w:pPr>
      <w:r>
        <w:rPr>
          <w:b/>
          <w:bCs/>
          <w:iCs/>
          <w:sz w:val="36"/>
          <w:szCs w:val="24"/>
        </w:rPr>
        <w:t>投资者关系活动记录表</w:t>
      </w:r>
    </w:p>
    <w:p w:rsidR="00DC6739" w:rsidRDefault="00F51A60">
      <w:pPr>
        <w:spacing w:line="400" w:lineRule="exact"/>
        <w:jc w:val="right"/>
        <w:rPr>
          <w:bCs/>
          <w:iCs/>
          <w:sz w:val="24"/>
          <w:szCs w:val="24"/>
        </w:rPr>
      </w:pPr>
      <w:r>
        <w:rPr>
          <w:bCs/>
          <w:iCs/>
          <w:sz w:val="24"/>
          <w:szCs w:val="24"/>
        </w:rPr>
        <w:t>编号：</w:t>
      </w:r>
      <w:r w:rsidR="00D05DBA">
        <w:rPr>
          <w:rFonts w:hint="eastAsia"/>
          <w:bCs/>
          <w:iCs/>
          <w:sz w:val="24"/>
          <w:szCs w:val="24"/>
        </w:rPr>
        <w:t>2017-03</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943"/>
        <w:gridCol w:w="5815"/>
      </w:tblGrid>
      <w:tr w:rsidR="00DC6739">
        <w:tc>
          <w:tcPr>
            <w:tcW w:w="2943" w:type="dxa"/>
          </w:tcPr>
          <w:p w:rsidR="00DC6739" w:rsidRDefault="00F51A60">
            <w:pPr>
              <w:spacing w:line="480" w:lineRule="atLeast"/>
              <w:rPr>
                <w:b/>
                <w:bCs/>
                <w:iCs/>
                <w:sz w:val="24"/>
                <w:szCs w:val="24"/>
              </w:rPr>
            </w:pPr>
            <w:r>
              <w:rPr>
                <w:b/>
                <w:bCs/>
                <w:iCs/>
                <w:sz w:val="24"/>
                <w:szCs w:val="24"/>
              </w:rPr>
              <w:t>投资者关系活动类别</w:t>
            </w:r>
          </w:p>
          <w:p w:rsidR="00DC6739" w:rsidRDefault="00DC6739">
            <w:pPr>
              <w:spacing w:line="480" w:lineRule="atLeast"/>
              <w:rPr>
                <w:b/>
                <w:bCs/>
                <w:iCs/>
                <w:sz w:val="24"/>
                <w:szCs w:val="24"/>
              </w:rPr>
            </w:pPr>
          </w:p>
        </w:tc>
        <w:tc>
          <w:tcPr>
            <w:tcW w:w="5815" w:type="dxa"/>
          </w:tcPr>
          <w:p w:rsidR="00DC6739" w:rsidRDefault="00F51A60">
            <w:pPr>
              <w:spacing w:line="480" w:lineRule="atLeast"/>
              <w:rPr>
                <w:bCs/>
                <w:iCs/>
                <w:sz w:val="24"/>
                <w:szCs w:val="24"/>
              </w:rPr>
            </w:pPr>
            <w:r>
              <w:rPr>
                <w:b/>
                <w:iCs/>
                <w:sz w:val="24"/>
                <w:szCs w:val="24"/>
              </w:rPr>
              <w:t xml:space="preserve">√ </w:t>
            </w:r>
            <w:r>
              <w:rPr>
                <w:sz w:val="24"/>
                <w:szCs w:val="24"/>
              </w:rPr>
              <w:t>特定对象调研</w:t>
            </w:r>
            <w:r>
              <w:rPr>
                <w:bCs/>
                <w:iCs/>
                <w:sz w:val="24"/>
                <w:szCs w:val="24"/>
              </w:rPr>
              <w:t>□</w:t>
            </w:r>
            <w:r>
              <w:rPr>
                <w:sz w:val="24"/>
                <w:szCs w:val="24"/>
              </w:rPr>
              <w:t>分析师会议</w:t>
            </w:r>
          </w:p>
          <w:p w:rsidR="00DC6739" w:rsidRDefault="00F51A60">
            <w:pPr>
              <w:spacing w:line="480" w:lineRule="atLeast"/>
              <w:rPr>
                <w:bCs/>
                <w:iCs/>
                <w:sz w:val="24"/>
                <w:szCs w:val="24"/>
              </w:rPr>
            </w:pPr>
            <w:r>
              <w:rPr>
                <w:bCs/>
                <w:iCs/>
                <w:sz w:val="24"/>
                <w:szCs w:val="24"/>
              </w:rPr>
              <w:t>□</w:t>
            </w:r>
            <w:r>
              <w:rPr>
                <w:sz w:val="24"/>
                <w:szCs w:val="24"/>
              </w:rPr>
              <w:t>媒体采访</w:t>
            </w:r>
            <w:r>
              <w:rPr>
                <w:bCs/>
                <w:iCs/>
                <w:sz w:val="24"/>
                <w:szCs w:val="24"/>
              </w:rPr>
              <w:t>□</w:t>
            </w:r>
            <w:r>
              <w:rPr>
                <w:sz w:val="24"/>
                <w:szCs w:val="24"/>
              </w:rPr>
              <w:t>业绩说明会</w:t>
            </w:r>
          </w:p>
          <w:p w:rsidR="00DC6739" w:rsidRDefault="00F51A60">
            <w:pPr>
              <w:spacing w:line="480" w:lineRule="atLeast"/>
              <w:rPr>
                <w:bCs/>
                <w:iCs/>
                <w:sz w:val="24"/>
                <w:szCs w:val="24"/>
              </w:rPr>
            </w:pPr>
            <w:r>
              <w:rPr>
                <w:bCs/>
                <w:iCs/>
                <w:sz w:val="24"/>
                <w:szCs w:val="24"/>
              </w:rPr>
              <w:t>□</w:t>
            </w:r>
            <w:r>
              <w:rPr>
                <w:sz w:val="24"/>
                <w:szCs w:val="24"/>
              </w:rPr>
              <w:t>新闻发布会</w:t>
            </w:r>
            <w:r>
              <w:rPr>
                <w:bCs/>
                <w:iCs/>
                <w:sz w:val="24"/>
                <w:szCs w:val="24"/>
              </w:rPr>
              <w:t>□</w:t>
            </w:r>
            <w:r>
              <w:rPr>
                <w:sz w:val="24"/>
                <w:szCs w:val="24"/>
              </w:rPr>
              <w:t>路演活动</w:t>
            </w:r>
          </w:p>
          <w:p w:rsidR="00DC6739" w:rsidRDefault="00F51A60">
            <w:pPr>
              <w:tabs>
                <w:tab w:val="left" w:pos="3045"/>
                <w:tab w:val="center" w:pos="3199"/>
              </w:tabs>
              <w:spacing w:line="480" w:lineRule="atLeast"/>
              <w:rPr>
                <w:bCs/>
                <w:iCs/>
                <w:sz w:val="24"/>
                <w:szCs w:val="24"/>
              </w:rPr>
            </w:pPr>
            <w:r>
              <w:rPr>
                <w:bCs/>
                <w:iCs/>
                <w:sz w:val="24"/>
                <w:szCs w:val="24"/>
              </w:rPr>
              <w:t>□</w:t>
            </w:r>
            <w:r>
              <w:rPr>
                <w:sz w:val="24"/>
                <w:szCs w:val="24"/>
              </w:rPr>
              <w:t>现场参观</w:t>
            </w:r>
            <w:r>
              <w:rPr>
                <w:bCs/>
                <w:iCs/>
                <w:sz w:val="24"/>
                <w:szCs w:val="24"/>
              </w:rPr>
              <w:tab/>
            </w:r>
          </w:p>
          <w:p w:rsidR="00DC6739" w:rsidRDefault="00F51A60">
            <w:pPr>
              <w:tabs>
                <w:tab w:val="center" w:pos="3199"/>
              </w:tabs>
              <w:spacing w:line="480" w:lineRule="atLeast"/>
              <w:rPr>
                <w:bCs/>
                <w:iCs/>
                <w:sz w:val="24"/>
                <w:szCs w:val="24"/>
              </w:rPr>
            </w:pPr>
            <w:r>
              <w:rPr>
                <w:bCs/>
                <w:iCs/>
                <w:sz w:val="24"/>
                <w:szCs w:val="24"/>
              </w:rPr>
              <w:t>□</w:t>
            </w:r>
            <w:r>
              <w:rPr>
                <w:sz w:val="24"/>
                <w:szCs w:val="24"/>
              </w:rPr>
              <w:t>其他（</w:t>
            </w:r>
            <w:r>
              <w:rPr>
                <w:sz w:val="24"/>
                <w:szCs w:val="24"/>
                <w:u w:val="single"/>
              </w:rPr>
              <w:t>请文字说明其他活动内容）</w:t>
            </w:r>
          </w:p>
        </w:tc>
      </w:tr>
      <w:tr w:rsidR="00DC6739">
        <w:tc>
          <w:tcPr>
            <w:tcW w:w="2943" w:type="dxa"/>
          </w:tcPr>
          <w:p w:rsidR="00DC6739" w:rsidRDefault="00F51A60">
            <w:pPr>
              <w:spacing w:line="480" w:lineRule="atLeast"/>
              <w:rPr>
                <w:b/>
                <w:bCs/>
                <w:iCs/>
                <w:sz w:val="24"/>
                <w:szCs w:val="24"/>
              </w:rPr>
            </w:pPr>
            <w:r>
              <w:rPr>
                <w:b/>
                <w:bCs/>
                <w:iCs/>
                <w:sz w:val="24"/>
                <w:szCs w:val="24"/>
              </w:rPr>
              <w:t>参与单位名称及人员姓名</w:t>
            </w:r>
          </w:p>
        </w:tc>
        <w:tc>
          <w:tcPr>
            <w:tcW w:w="5815" w:type="dxa"/>
          </w:tcPr>
          <w:p w:rsidR="00DC6739" w:rsidRDefault="00D05DBA">
            <w:pPr>
              <w:spacing w:line="480" w:lineRule="atLeast"/>
              <w:rPr>
                <w:bCs/>
                <w:iCs/>
                <w:sz w:val="24"/>
                <w:szCs w:val="24"/>
              </w:rPr>
            </w:pPr>
            <w:r>
              <w:rPr>
                <w:rFonts w:hint="eastAsia"/>
                <w:bCs/>
                <w:iCs/>
                <w:sz w:val="24"/>
                <w:szCs w:val="24"/>
              </w:rPr>
              <w:t>安信证券：李佳丰</w:t>
            </w:r>
          </w:p>
        </w:tc>
      </w:tr>
      <w:tr w:rsidR="00DC6739">
        <w:tc>
          <w:tcPr>
            <w:tcW w:w="2943" w:type="dxa"/>
          </w:tcPr>
          <w:p w:rsidR="00DC6739" w:rsidRDefault="00F51A60">
            <w:pPr>
              <w:spacing w:line="480" w:lineRule="atLeast"/>
              <w:rPr>
                <w:b/>
                <w:bCs/>
                <w:iCs/>
                <w:sz w:val="24"/>
                <w:szCs w:val="24"/>
              </w:rPr>
            </w:pPr>
            <w:r>
              <w:rPr>
                <w:b/>
                <w:bCs/>
                <w:iCs/>
                <w:sz w:val="24"/>
                <w:szCs w:val="24"/>
              </w:rPr>
              <w:t>时间</w:t>
            </w:r>
          </w:p>
        </w:tc>
        <w:tc>
          <w:tcPr>
            <w:tcW w:w="5815" w:type="dxa"/>
          </w:tcPr>
          <w:p w:rsidR="00DC6739" w:rsidRDefault="00F51A60">
            <w:pPr>
              <w:spacing w:line="480" w:lineRule="atLeast"/>
              <w:rPr>
                <w:bCs/>
                <w:iCs/>
                <w:sz w:val="24"/>
                <w:szCs w:val="24"/>
              </w:rPr>
            </w:pPr>
            <w:r>
              <w:rPr>
                <w:bCs/>
                <w:iCs/>
                <w:sz w:val="24"/>
                <w:szCs w:val="24"/>
              </w:rPr>
              <w:t>201</w:t>
            </w:r>
            <w:r>
              <w:rPr>
                <w:rFonts w:hint="eastAsia"/>
                <w:bCs/>
                <w:iCs/>
                <w:sz w:val="24"/>
                <w:szCs w:val="24"/>
              </w:rPr>
              <w:t>7</w:t>
            </w:r>
            <w:r>
              <w:rPr>
                <w:bCs/>
                <w:iCs/>
                <w:sz w:val="24"/>
                <w:szCs w:val="24"/>
              </w:rPr>
              <w:t>年</w:t>
            </w:r>
            <w:r w:rsidR="00D05DBA">
              <w:rPr>
                <w:rFonts w:hint="eastAsia"/>
                <w:bCs/>
                <w:iCs/>
                <w:sz w:val="24"/>
                <w:szCs w:val="24"/>
              </w:rPr>
              <w:t>3</w:t>
            </w:r>
            <w:r>
              <w:rPr>
                <w:bCs/>
                <w:iCs/>
                <w:sz w:val="24"/>
                <w:szCs w:val="24"/>
              </w:rPr>
              <w:t>月</w:t>
            </w:r>
            <w:r w:rsidR="00D05DBA">
              <w:rPr>
                <w:rFonts w:hint="eastAsia"/>
                <w:bCs/>
                <w:iCs/>
                <w:sz w:val="24"/>
                <w:szCs w:val="24"/>
              </w:rPr>
              <w:t>2</w:t>
            </w:r>
            <w:r>
              <w:rPr>
                <w:bCs/>
                <w:iCs/>
                <w:sz w:val="24"/>
                <w:szCs w:val="24"/>
              </w:rPr>
              <w:t>日</w:t>
            </w:r>
          </w:p>
        </w:tc>
      </w:tr>
      <w:tr w:rsidR="00DC6739">
        <w:tc>
          <w:tcPr>
            <w:tcW w:w="2943" w:type="dxa"/>
          </w:tcPr>
          <w:p w:rsidR="00DC6739" w:rsidRDefault="00F51A60">
            <w:pPr>
              <w:spacing w:line="480" w:lineRule="atLeast"/>
              <w:rPr>
                <w:b/>
                <w:bCs/>
                <w:iCs/>
                <w:sz w:val="24"/>
                <w:szCs w:val="24"/>
              </w:rPr>
            </w:pPr>
            <w:r>
              <w:rPr>
                <w:b/>
                <w:bCs/>
                <w:iCs/>
                <w:sz w:val="24"/>
                <w:szCs w:val="24"/>
              </w:rPr>
              <w:t>地点</w:t>
            </w:r>
          </w:p>
        </w:tc>
        <w:tc>
          <w:tcPr>
            <w:tcW w:w="5815" w:type="dxa"/>
          </w:tcPr>
          <w:p w:rsidR="00DC6739" w:rsidRDefault="00F51A60">
            <w:pPr>
              <w:spacing w:line="480" w:lineRule="atLeast"/>
              <w:rPr>
                <w:bCs/>
                <w:iCs/>
                <w:sz w:val="24"/>
                <w:szCs w:val="24"/>
              </w:rPr>
            </w:pPr>
            <w:r>
              <w:rPr>
                <w:rFonts w:hint="eastAsia"/>
                <w:bCs/>
                <w:iCs/>
                <w:sz w:val="24"/>
                <w:szCs w:val="24"/>
              </w:rPr>
              <w:t>公司总部会议室</w:t>
            </w:r>
          </w:p>
        </w:tc>
      </w:tr>
      <w:tr w:rsidR="00DC6739">
        <w:tc>
          <w:tcPr>
            <w:tcW w:w="2943" w:type="dxa"/>
          </w:tcPr>
          <w:p w:rsidR="00DC6739" w:rsidRDefault="00F51A60">
            <w:pPr>
              <w:spacing w:line="480" w:lineRule="atLeast"/>
              <w:rPr>
                <w:b/>
                <w:bCs/>
                <w:iCs/>
                <w:sz w:val="24"/>
                <w:szCs w:val="24"/>
              </w:rPr>
            </w:pPr>
            <w:r>
              <w:rPr>
                <w:b/>
                <w:bCs/>
                <w:iCs/>
                <w:sz w:val="24"/>
                <w:szCs w:val="24"/>
              </w:rPr>
              <w:t>上市公司接待人员姓名</w:t>
            </w:r>
          </w:p>
        </w:tc>
        <w:tc>
          <w:tcPr>
            <w:tcW w:w="5815" w:type="dxa"/>
          </w:tcPr>
          <w:p w:rsidR="00DC6739" w:rsidRDefault="00F51A60">
            <w:pPr>
              <w:spacing w:line="480" w:lineRule="atLeast"/>
              <w:rPr>
                <w:bCs/>
                <w:iCs/>
                <w:sz w:val="24"/>
                <w:szCs w:val="24"/>
              </w:rPr>
            </w:pPr>
            <w:r>
              <w:rPr>
                <w:rFonts w:hint="eastAsia"/>
                <w:bCs/>
                <w:iCs/>
                <w:sz w:val="24"/>
                <w:szCs w:val="24"/>
              </w:rPr>
              <w:t>董事会秘书、副总经理秦军</w:t>
            </w:r>
          </w:p>
        </w:tc>
      </w:tr>
      <w:tr w:rsidR="00DC6739">
        <w:trPr>
          <w:trHeight w:val="692"/>
        </w:trPr>
        <w:tc>
          <w:tcPr>
            <w:tcW w:w="8758" w:type="dxa"/>
            <w:gridSpan w:val="2"/>
            <w:vAlign w:val="center"/>
          </w:tcPr>
          <w:p w:rsidR="00DC6739" w:rsidRDefault="00F51A60">
            <w:pPr>
              <w:spacing w:line="480" w:lineRule="atLeast"/>
              <w:jc w:val="center"/>
              <w:rPr>
                <w:b/>
                <w:bCs/>
                <w:iCs/>
                <w:sz w:val="24"/>
                <w:szCs w:val="24"/>
              </w:rPr>
            </w:pPr>
            <w:r>
              <w:rPr>
                <w:b/>
                <w:bCs/>
                <w:iCs/>
                <w:sz w:val="24"/>
                <w:szCs w:val="24"/>
              </w:rPr>
              <w:t>会谈内容</w:t>
            </w:r>
          </w:p>
        </w:tc>
      </w:tr>
      <w:tr w:rsidR="00DC6739">
        <w:trPr>
          <w:trHeight w:val="1125"/>
        </w:trPr>
        <w:tc>
          <w:tcPr>
            <w:tcW w:w="8758" w:type="dxa"/>
            <w:gridSpan w:val="2"/>
          </w:tcPr>
          <w:p w:rsidR="00DC6739" w:rsidRDefault="00F51A60">
            <w:pPr>
              <w:spacing w:line="480" w:lineRule="atLeast"/>
              <w:rPr>
                <w:b/>
                <w:bCs/>
                <w:iCs/>
                <w:sz w:val="24"/>
              </w:rPr>
            </w:pPr>
            <w:r>
              <w:rPr>
                <w:b/>
                <w:bCs/>
                <w:iCs/>
                <w:sz w:val="24"/>
                <w:szCs w:val="24"/>
              </w:rPr>
              <w:t>1</w:t>
            </w:r>
            <w:r>
              <w:rPr>
                <w:rFonts w:hint="eastAsia"/>
                <w:b/>
                <w:bCs/>
                <w:iCs/>
                <w:sz w:val="24"/>
                <w:szCs w:val="24"/>
              </w:rPr>
              <w:t>．</w:t>
            </w:r>
            <w:r w:rsidR="0035150E" w:rsidRPr="0035150E">
              <w:rPr>
                <w:rFonts w:hint="eastAsia"/>
                <w:b/>
                <w:bCs/>
                <w:iCs/>
                <w:sz w:val="24"/>
                <w:szCs w:val="24"/>
              </w:rPr>
              <w:t>目前公司单位养殖成本</w:t>
            </w:r>
            <w:r w:rsidR="00033068">
              <w:rPr>
                <w:rFonts w:hint="eastAsia"/>
                <w:b/>
                <w:bCs/>
                <w:iCs/>
                <w:sz w:val="24"/>
                <w:szCs w:val="24"/>
              </w:rPr>
              <w:t>与</w:t>
            </w:r>
            <w:r w:rsidR="0035150E" w:rsidRPr="0035150E">
              <w:rPr>
                <w:rFonts w:hint="eastAsia"/>
                <w:b/>
                <w:bCs/>
                <w:iCs/>
                <w:sz w:val="24"/>
                <w:szCs w:val="24"/>
              </w:rPr>
              <w:t>行业平均水平对比，居于什么样的位置</w:t>
            </w:r>
            <w:r>
              <w:rPr>
                <w:b/>
                <w:bCs/>
                <w:iCs/>
                <w:sz w:val="24"/>
              </w:rPr>
              <w:t>？</w:t>
            </w:r>
          </w:p>
          <w:p w:rsidR="0035150E" w:rsidRPr="0035150E" w:rsidRDefault="00033068" w:rsidP="0035150E">
            <w:pPr>
              <w:spacing w:line="480" w:lineRule="atLeast"/>
              <w:ind w:firstLineChars="200" w:firstLine="480"/>
              <w:rPr>
                <w:bCs/>
                <w:iCs/>
                <w:sz w:val="24"/>
              </w:rPr>
            </w:pPr>
            <w:r>
              <w:rPr>
                <w:rFonts w:hint="eastAsia"/>
                <w:bCs/>
                <w:iCs/>
                <w:sz w:val="24"/>
              </w:rPr>
              <w:t>根据</w:t>
            </w:r>
            <w:r w:rsidR="001161D3">
              <w:rPr>
                <w:rFonts w:hint="eastAsia"/>
                <w:bCs/>
                <w:iCs/>
                <w:sz w:val="24"/>
              </w:rPr>
              <w:t>对</w:t>
            </w:r>
            <w:r>
              <w:rPr>
                <w:rFonts w:hint="eastAsia"/>
                <w:bCs/>
                <w:iCs/>
                <w:sz w:val="24"/>
              </w:rPr>
              <w:t>公司</w:t>
            </w:r>
            <w:r w:rsidR="001161D3">
              <w:rPr>
                <w:bCs/>
                <w:iCs/>
                <w:sz w:val="24"/>
              </w:rPr>
              <w:t>周边</w:t>
            </w:r>
            <w:r>
              <w:rPr>
                <w:rFonts w:hint="eastAsia"/>
                <w:bCs/>
                <w:iCs/>
                <w:sz w:val="24"/>
              </w:rPr>
              <w:t>养殖户</w:t>
            </w:r>
            <w:r w:rsidR="00A3162E">
              <w:rPr>
                <w:rFonts w:hint="eastAsia"/>
                <w:bCs/>
                <w:iCs/>
                <w:sz w:val="24"/>
              </w:rPr>
              <w:t>的</w:t>
            </w:r>
            <w:r w:rsidR="0035150E" w:rsidRPr="0035150E">
              <w:rPr>
                <w:rFonts w:hint="eastAsia"/>
                <w:bCs/>
                <w:iCs/>
                <w:sz w:val="24"/>
              </w:rPr>
              <w:t>了解，公司的养殖成本低于大多数中小养殖户。公司成本控制水平行业领先，主要原因</w:t>
            </w:r>
            <w:r>
              <w:rPr>
                <w:rFonts w:hint="eastAsia"/>
                <w:bCs/>
                <w:iCs/>
                <w:sz w:val="24"/>
              </w:rPr>
              <w:t>是</w:t>
            </w:r>
            <w:r w:rsidR="0035150E" w:rsidRPr="0035150E">
              <w:rPr>
                <w:rFonts w:hint="eastAsia"/>
                <w:bCs/>
                <w:iCs/>
                <w:sz w:val="24"/>
              </w:rPr>
              <w:t>：</w:t>
            </w:r>
          </w:p>
          <w:p w:rsidR="0035150E" w:rsidRPr="0035150E" w:rsidRDefault="0035150E" w:rsidP="0035150E">
            <w:pPr>
              <w:spacing w:line="480" w:lineRule="atLeast"/>
              <w:ind w:firstLineChars="200" w:firstLine="480"/>
              <w:rPr>
                <w:bCs/>
                <w:iCs/>
                <w:sz w:val="24"/>
              </w:rPr>
            </w:pPr>
            <w:r w:rsidRPr="0035150E">
              <w:rPr>
                <w:rFonts w:hint="eastAsia"/>
                <w:bCs/>
                <w:iCs/>
                <w:sz w:val="24"/>
              </w:rPr>
              <w:t>（</w:t>
            </w:r>
            <w:r w:rsidRPr="0035150E">
              <w:rPr>
                <w:rFonts w:hint="eastAsia"/>
                <w:bCs/>
                <w:iCs/>
                <w:sz w:val="24"/>
              </w:rPr>
              <w:t>1</w:t>
            </w:r>
            <w:r w:rsidRPr="0035150E">
              <w:rPr>
                <w:rFonts w:hint="eastAsia"/>
                <w:bCs/>
                <w:iCs/>
                <w:sz w:val="24"/>
              </w:rPr>
              <w:t>）原粮采购：子公司布局在粮食主产区，就近采购，原粮成本低。</w:t>
            </w:r>
          </w:p>
          <w:p w:rsidR="0035150E" w:rsidRPr="0035150E" w:rsidRDefault="0035150E" w:rsidP="0035150E">
            <w:pPr>
              <w:spacing w:line="480" w:lineRule="atLeast"/>
              <w:ind w:firstLineChars="200" w:firstLine="480"/>
              <w:rPr>
                <w:bCs/>
                <w:iCs/>
                <w:sz w:val="24"/>
              </w:rPr>
            </w:pPr>
            <w:r w:rsidRPr="0035150E">
              <w:rPr>
                <w:rFonts w:hint="eastAsia"/>
                <w:bCs/>
                <w:iCs/>
                <w:sz w:val="24"/>
              </w:rPr>
              <w:t>（</w:t>
            </w:r>
            <w:r w:rsidRPr="0035150E">
              <w:rPr>
                <w:rFonts w:hint="eastAsia"/>
                <w:bCs/>
                <w:iCs/>
                <w:sz w:val="24"/>
              </w:rPr>
              <w:t>2</w:t>
            </w:r>
            <w:r w:rsidRPr="0035150E">
              <w:rPr>
                <w:rFonts w:hint="eastAsia"/>
                <w:bCs/>
                <w:iCs/>
                <w:sz w:val="24"/>
              </w:rPr>
              <w:t>）饲料配方：根据不同猪群不同生长阶段，动态调整配方，降低饲料成本。</w:t>
            </w:r>
          </w:p>
          <w:p w:rsidR="0035150E" w:rsidRPr="0035150E" w:rsidRDefault="0035150E" w:rsidP="0035150E">
            <w:pPr>
              <w:spacing w:line="480" w:lineRule="atLeast"/>
              <w:ind w:firstLineChars="200" w:firstLine="480"/>
              <w:rPr>
                <w:bCs/>
                <w:iCs/>
                <w:sz w:val="24"/>
              </w:rPr>
            </w:pPr>
            <w:r w:rsidRPr="0035150E">
              <w:rPr>
                <w:rFonts w:hint="eastAsia"/>
                <w:bCs/>
                <w:iCs/>
                <w:sz w:val="24"/>
              </w:rPr>
              <w:t>（</w:t>
            </w:r>
            <w:r w:rsidRPr="0035150E">
              <w:rPr>
                <w:rFonts w:hint="eastAsia"/>
                <w:bCs/>
                <w:iCs/>
                <w:sz w:val="24"/>
              </w:rPr>
              <w:t>3</w:t>
            </w:r>
            <w:r w:rsidRPr="0035150E">
              <w:rPr>
                <w:rFonts w:hint="eastAsia"/>
                <w:bCs/>
                <w:iCs/>
                <w:sz w:val="24"/>
              </w:rPr>
              <w:t>）劳动效率：公司拥有现代化猪舍和自动化水平较高的饲喂系统，在育肥阶段，公司</w:t>
            </w:r>
            <w:r w:rsidR="000A1EFA" w:rsidRPr="009A22B9">
              <w:rPr>
                <w:bCs/>
                <w:iCs/>
                <w:sz w:val="24"/>
              </w:rPr>
              <w:t>１</w:t>
            </w:r>
            <w:r w:rsidRPr="0035150E">
              <w:rPr>
                <w:rFonts w:hint="eastAsia"/>
                <w:bCs/>
                <w:iCs/>
                <w:sz w:val="24"/>
              </w:rPr>
              <w:t>名饲养员可同时饲养</w:t>
            </w:r>
            <w:r w:rsidRPr="0035150E">
              <w:rPr>
                <w:rFonts w:hint="eastAsia"/>
                <w:bCs/>
                <w:iCs/>
                <w:sz w:val="24"/>
              </w:rPr>
              <w:t>2</w:t>
            </w:r>
            <w:r w:rsidR="000A1EFA">
              <w:rPr>
                <w:rFonts w:hint="eastAsia"/>
                <w:bCs/>
                <w:iCs/>
                <w:sz w:val="24"/>
              </w:rPr>
              <w:t>,</w:t>
            </w:r>
            <w:r w:rsidRPr="0035150E">
              <w:rPr>
                <w:rFonts w:hint="eastAsia"/>
                <w:bCs/>
                <w:iCs/>
                <w:sz w:val="24"/>
              </w:rPr>
              <w:t>700</w:t>
            </w:r>
            <w:r w:rsidR="000A1EFA">
              <w:rPr>
                <w:bCs/>
                <w:iCs/>
                <w:sz w:val="24"/>
              </w:rPr>
              <w:t>-</w:t>
            </w:r>
            <w:r w:rsidRPr="0035150E">
              <w:rPr>
                <w:rFonts w:hint="eastAsia"/>
                <w:bCs/>
                <w:iCs/>
                <w:sz w:val="24"/>
              </w:rPr>
              <w:t>3,600</w:t>
            </w:r>
            <w:r w:rsidRPr="0035150E">
              <w:rPr>
                <w:rFonts w:hint="eastAsia"/>
                <w:bCs/>
                <w:iCs/>
                <w:sz w:val="24"/>
              </w:rPr>
              <w:t>头生猪（根据猪舍条件），生产效率高于国内行业平均水平。</w:t>
            </w:r>
          </w:p>
          <w:p w:rsidR="00DC6739" w:rsidRDefault="0035150E" w:rsidP="0035150E">
            <w:pPr>
              <w:spacing w:line="480" w:lineRule="atLeast"/>
              <w:ind w:firstLineChars="200" w:firstLine="480"/>
              <w:rPr>
                <w:bCs/>
                <w:iCs/>
                <w:sz w:val="24"/>
              </w:rPr>
            </w:pPr>
            <w:r w:rsidRPr="0035150E">
              <w:rPr>
                <w:rFonts w:hint="eastAsia"/>
                <w:bCs/>
                <w:iCs/>
                <w:sz w:val="24"/>
              </w:rPr>
              <w:t>（</w:t>
            </w:r>
            <w:r w:rsidRPr="0035150E">
              <w:rPr>
                <w:rFonts w:hint="eastAsia"/>
                <w:bCs/>
                <w:iCs/>
                <w:sz w:val="24"/>
              </w:rPr>
              <w:t>4</w:t>
            </w:r>
            <w:r w:rsidRPr="0035150E">
              <w:rPr>
                <w:rFonts w:hint="eastAsia"/>
                <w:bCs/>
                <w:iCs/>
                <w:sz w:val="24"/>
              </w:rPr>
              <w:t>）管理：公司对饲料加工、生猪育种、种猪扩繁和商品猪饲养等生产环节的各项生产流程制定一系列标准化制度和技术规范，实现生产过程的精细化、标准化管理，推动公司养殖技术的进步和生产效率的提高</w:t>
            </w:r>
            <w:r w:rsidR="00F51A60">
              <w:rPr>
                <w:rFonts w:hint="eastAsia"/>
                <w:bCs/>
                <w:iCs/>
                <w:sz w:val="24"/>
              </w:rPr>
              <w:t>。</w:t>
            </w:r>
          </w:p>
          <w:p w:rsidR="00DC6739" w:rsidRDefault="00DC6739">
            <w:pPr>
              <w:spacing w:line="480" w:lineRule="atLeast"/>
              <w:ind w:firstLineChars="200" w:firstLine="480"/>
              <w:rPr>
                <w:bCs/>
                <w:iCs/>
                <w:sz w:val="24"/>
              </w:rPr>
            </w:pPr>
          </w:p>
          <w:p w:rsidR="0035150E" w:rsidRPr="0035150E" w:rsidRDefault="00F51A60" w:rsidP="0035150E">
            <w:pPr>
              <w:spacing w:line="480" w:lineRule="atLeast"/>
              <w:rPr>
                <w:b/>
                <w:bCs/>
                <w:iCs/>
                <w:sz w:val="24"/>
                <w:szCs w:val="24"/>
              </w:rPr>
            </w:pPr>
            <w:r>
              <w:rPr>
                <w:b/>
                <w:bCs/>
                <w:iCs/>
                <w:sz w:val="24"/>
                <w:szCs w:val="24"/>
              </w:rPr>
              <w:lastRenderedPageBreak/>
              <w:t>2</w:t>
            </w:r>
            <w:r>
              <w:rPr>
                <w:rFonts w:hint="eastAsia"/>
                <w:b/>
                <w:bCs/>
                <w:iCs/>
                <w:sz w:val="24"/>
                <w:szCs w:val="24"/>
              </w:rPr>
              <w:t>．</w:t>
            </w:r>
            <w:r w:rsidR="0035150E" w:rsidRPr="0035150E">
              <w:rPr>
                <w:rFonts w:hint="eastAsia"/>
                <w:b/>
                <w:bCs/>
                <w:iCs/>
                <w:sz w:val="24"/>
                <w:szCs w:val="24"/>
              </w:rPr>
              <w:t>目前大型养殖企业快速扩张，中小企业无明显扩张趋势，主要原因是什么？</w:t>
            </w:r>
          </w:p>
          <w:p w:rsidR="003D5F9E" w:rsidRDefault="0035150E" w:rsidP="003D5F9E">
            <w:pPr>
              <w:spacing w:line="480" w:lineRule="atLeast"/>
              <w:ind w:firstLineChars="200" w:firstLine="480"/>
              <w:rPr>
                <w:rFonts w:ascii="宋体" w:hAnsi="宋体" w:hint="eastAsia"/>
                <w:sz w:val="24"/>
                <w:szCs w:val="24"/>
              </w:rPr>
            </w:pPr>
            <w:r w:rsidRPr="0035150E">
              <w:rPr>
                <w:rFonts w:ascii="宋体" w:hAnsi="宋体" w:hint="eastAsia"/>
                <w:sz w:val="24"/>
                <w:szCs w:val="24"/>
              </w:rPr>
              <w:t>近年来环保政策越来越严，</w:t>
            </w:r>
            <w:r w:rsidR="00033068">
              <w:rPr>
                <w:rFonts w:ascii="宋体" w:hAnsi="宋体" w:hint="eastAsia"/>
                <w:sz w:val="24"/>
                <w:szCs w:val="24"/>
              </w:rPr>
              <w:t>多省市已出台了一系列的禁养政策，</w:t>
            </w:r>
            <w:r w:rsidRPr="0035150E">
              <w:rPr>
                <w:rFonts w:ascii="宋体" w:hAnsi="宋体" w:hint="eastAsia"/>
                <w:sz w:val="24"/>
                <w:szCs w:val="24"/>
              </w:rPr>
              <w:t>特别是禁养区和限养区的划定，迫使一些中小猪场退出市场。</w:t>
            </w:r>
            <w:r w:rsidR="003D5F9E">
              <w:rPr>
                <w:rFonts w:ascii="宋体" w:hAnsi="宋体" w:hint="eastAsia"/>
                <w:sz w:val="24"/>
                <w:szCs w:val="24"/>
              </w:rPr>
              <w:t>环保政策的趋严使中小养殖场环保成本上升，</w:t>
            </w:r>
            <w:r w:rsidR="000A1EFA">
              <w:rPr>
                <w:rFonts w:ascii="宋体" w:hAnsi="宋体" w:hint="eastAsia"/>
                <w:sz w:val="24"/>
                <w:szCs w:val="24"/>
              </w:rPr>
              <w:t>而大型</w:t>
            </w:r>
            <w:r w:rsidR="00033068">
              <w:rPr>
                <w:rFonts w:ascii="宋体" w:hAnsi="宋体" w:hint="eastAsia"/>
                <w:sz w:val="24"/>
                <w:szCs w:val="24"/>
              </w:rPr>
              <w:t>养殖</w:t>
            </w:r>
            <w:r w:rsidR="000A1EFA">
              <w:rPr>
                <w:rFonts w:ascii="宋体" w:hAnsi="宋体" w:hint="eastAsia"/>
                <w:sz w:val="24"/>
                <w:szCs w:val="24"/>
              </w:rPr>
              <w:t>企业拥有资金和技术优势。</w:t>
            </w:r>
          </w:p>
          <w:p w:rsidR="00DC6739" w:rsidRPr="0035150E" w:rsidRDefault="0035150E" w:rsidP="003D5F9E">
            <w:pPr>
              <w:spacing w:line="480" w:lineRule="atLeast"/>
              <w:ind w:firstLineChars="200" w:firstLine="480"/>
              <w:rPr>
                <w:rFonts w:ascii="宋体" w:hAnsi="宋体"/>
                <w:sz w:val="24"/>
                <w:szCs w:val="24"/>
              </w:rPr>
            </w:pPr>
            <w:r w:rsidRPr="0035150E">
              <w:rPr>
                <w:rFonts w:ascii="宋体" w:hAnsi="宋体" w:hint="eastAsia"/>
                <w:sz w:val="24"/>
                <w:szCs w:val="24"/>
              </w:rPr>
              <w:t>公司根据自己的生产特点，探索出了符合实际的环保模式。在环保方面有成熟的工艺，不但符合国家的相关环保要求，而且做到了资源循环利用，实现了“种-养循环”，沼液作为液态肥还田，减少化肥的使用，有利于改善土质</w:t>
            </w:r>
            <w:r w:rsidR="00F51A60" w:rsidRPr="0035150E">
              <w:rPr>
                <w:rFonts w:ascii="宋体" w:hAnsi="宋体" w:hint="eastAsia"/>
                <w:sz w:val="24"/>
                <w:szCs w:val="24"/>
              </w:rPr>
              <w:t>。</w:t>
            </w:r>
          </w:p>
          <w:p w:rsidR="00DC6739" w:rsidRDefault="00DC6739">
            <w:pPr>
              <w:spacing w:line="480" w:lineRule="atLeast"/>
              <w:rPr>
                <w:b/>
                <w:bCs/>
                <w:iCs/>
                <w:sz w:val="24"/>
                <w:szCs w:val="24"/>
              </w:rPr>
            </w:pPr>
          </w:p>
          <w:p w:rsidR="000031EC" w:rsidRDefault="00F51A60" w:rsidP="000031EC">
            <w:pPr>
              <w:spacing w:line="480" w:lineRule="atLeast"/>
              <w:rPr>
                <w:rFonts w:ascii="宋体" w:hAnsi="宋体"/>
                <w:b/>
                <w:bCs/>
                <w:sz w:val="24"/>
                <w:szCs w:val="24"/>
              </w:rPr>
            </w:pPr>
            <w:r>
              <w:rPr>
                <w:b/>
                <w:bCs/>
                <w:iCs/>
                <w:sz w:val="24"/>
                <w:szCs w:val="24"/>
              </w:rPr>
              <w:t>3</w:t>
            </w:r>
            <w:r>
              <w:rPr>
                <w:rFonts w:hint="eastAsia"/>
                <w:b/>
                <w:bCs/>
                <w:iCs/>
                <w:sz w:val="24"/>
                <w:szCs w:val="24"/>
              </w:rPr>
              <w:t>．</w:t>
            </w:r>
            <w:r w:rsidR="000A1EFA">
              <w:rPr>
                <w:rFonts w:ascii="宋体" w:hAnsi="宋体" w:hint="eastAsia"/>
                <w:b/>
                <w:bCs/>
                <w:sz w:val="24"/>
                <w:szCs w:val="24"/>
              </w:rPr>
              <w:t>从企业发展</w:t>
            </w:r>
            <w:r w:rsidR="0035150E" w:rsidRPr="0035150E">
              <w:rPr>
                <w:rFonts w:ascii="宋体" w:hAnsi="宋体" w:hint="eastAsia"/>
                <w:b/>
                <w:bCs/>
                <w:sz w:val="24"/>
                <w:szCs w:val="24"/>
              </w:rPr>
              <w:t>方面看，扩张的时候有哪些方面是需要重点关注的</w:t>
            </w:r>
            <w:r w:rsidR="000031EC">
              <w:rPr>
                <w:rFonts w:ascii="宋体" w:hAnsi="宋体" w:hint="eastAsia"/>
                <w:b/>
                <w:bCs/>
                <w:sz w:val="24"/>
                <w:szCs w:val="24"/>
              </w:rPr>
              <w:t>？</w:t>
            </w:r>
          </w:p>
          <w:p w:rsidR="0035150E" w:rsidRPr="0035150E" w:rsidRDefault="0035150E" w:rsidP="0035150E">
            <w:pPr>
              <w:spacing w:line="480" w:lineRule="atLeast"/>
              <w:ind w:firstLineChars="200" w:firstLine="480"/>
              <w:rPr>
                <w:rFonts w:ascii="宋体" w:hAnsi="宋体"/>
                <w:sz w:val="24"/>
                <w:szCs w:val="24"/>
              </w:rPr>
            </w:pPr>
            <w:r w:rsidRPr="0035150E">
              <w:rPr>
                <w:rFonts w:ascii="宋体" w:hAnsi="宋体" w:hint="eastAsia"/>
                <w:sz w:val="24"/>
                <w:szCs w:val="24"/>
              </w:rPr>
              <w:t>（1）技术方面：公司从2013年</w:t>
            </w:r>
            <w:r w:rsidR="006053C4">
              <w:rPr>
                <w:rFonts w:ascii="宋体" w:hAnsi="宋体" w:hint="eastAsia"/>
                <w:sz w:val="24"/>
                <w:szCs w:val="24"/>
              </w:rPr>
              <w:t>开始</w:t>
            </w:r>
            <w:r w:rsidR="009A22B9">
              <w:rPr>
                <w:rFonts w:ascii="宋体" w:hAnsi="宋体" w:hint="eastAsia"/>
                <w:sz w:val="24"/>
                <w:szCs w:val="24"/>
              </w:rPr>
              <w:t>上线</w:t>
            </w:r>
            <w:r w:rsidRPr="0035150E">
              <w:rPr>
                <w:rFonts w:ascii="宋体" w:hAnsi="宋体" w:hint="eastAsia"/>
                <w:sz w:val="24"/>
                <w:szCs w:val="24"/>
              </w:rPr>
              <w:t>ERP</w:t>
            </w:r>
            <w:r w:rsidR="006053C4">
              <w:rPr>
                <w:rFonts w:ascii="宋体" w:hAnsi="宋体" w:hint="eastAsia"/>
                <w:sz w:val="24"/>
                <w:szCs w:val="24"/>
              </w:rPr>
              <w:t>系统</w:t>
            </w:r>
            <w:r w:rsidRPr="0035150E">
              <w:rPr>
                <w:rFonts w:ascii="宋体" w:hAnsi="宋体" w:hint="eastAsia"/>
                <w:sz w:val="24"/>
                <w:szCs w:val="24"/>
              </w:rPr>
              <w:t>，运</w:t>
            </w:r>
            <w:r w:rsidR="00783653">
              <w:rPr>
                <w:rFonts w:ascii="宋体" w:hAnsi="宋体" w:hint="eastAsia"/>
                <w:sz w:val="24"/>
                <w:szCs w:val="24"/>
              </w:rPr>
              <w:t>用信息化进行管理。养猪环节，公司</w:t>
            </w:r>
            <w:r w:rsidR="009A22B9">
              <w:rPr>
                <w:rFonts w:ascii="宋体" w:hAnsi="宋体" w:hint="eastAsia"/>
                <w:sz w:val="24"/>
                <w:szCs w:val="24"/>
              </w:rPr>
              <w:t>开发</w:t>
            </w:r>
            <w:r w:rsidR="00783653">
              <w:rPr>
                <w:rFonts w:ascii="宋体" w:hAnsi="宋体" w:hint="eastAsia"/>
                <w:sz w:val="24"/>
                <w:szCs w:val="24"/>
              </w:rPr>
              <w:t>了生产管理系统，对养殖过程进行</w:t>
            </w:r>
            <w:r w:rsidR="009A22B9">
              <w:rPr>
                <w:rFonts w:ascii="宋体" w:hAnsi="宋体" w:hint="eastAsia"/>
                <w:sz w:val="24"/>
                <w:szCs w:val="24"/>
              </w:rPr>
              <w:t>详细的追踪和</w:t>
            </w:r>
            <w:r w:rsidR="00493AB8">
              <w:rPr>
                <w:rFonts w:ascii="宋体" w:hAnsi="宋体" w:hint="eastAsia"/>
                <w:sz w:val="24"/>
                <w:szCs w:val="24"/>
              </w:rPr>
              <w:t>记录</w:t>
            </w:r>
            <w:r w:rsidRPr="0035150E">
              <w:rPr>
                <w:rFonts w:ascii="宋体" w:hAnsi="宋体" w:hint="eastAsia"/>
                <w:sz w:val="24"/>
                <w:szCs w:val="24"/>
              </w:rPr>
              <w:t>，</w:t>
            </w:r>
            <w:r w:rsidR="009A22B9">
              <w:rPr>
                <w:rFonts w:ascii="宋体" w:hAnsi="宋体" w:hint="eastAsia"/>
                <w:sz w:val="24"/>
                <w:szCs w:val="24"/>
              </w:rPr>
              <w:t>保障食品安全，同时作为饲养员绩效</w:t>
            </w:r>
            <w:r w:rsidR="009A22B9" w:rsidRPr="0035150E">
              <w:rPr>
                <w:rFonts w:ascii="宋体" w:hAnsi="宋体" w:hint="eastAsia"/>
                <w:sz w:val="24"/>
                <w:szCs w:val="24"/>
              </w:rPr>
              <w:t>考核</w:t>
            </w:r>
            <w:r w:rsidR="009A22B9">
              <w:rPr>
                <w:rFonts w:ascii="宋体" w:hAnsi="宋体" w:hint="eastAsia"/>
                <w:sz w:val="24"/>
                <w:szCs w:val="24"/>
              </w:rPr>
              <w:t>的基础</w:t>
            </w:r>
            <w:r w:rsidRPr="0035150E">
              <w:rPr>
                <w:rFonts w:ascii="宋体" w:hAnsi="宋体" w:hint="eastAsia"/>
                <w:sz w:val="24"/>
                <w:szCs w:val="24"/>
              </w:rPr>
              <w:t>。公司</w:t>
            </w:r>
            <w:r w:rsidR="009A22B9" w:rsidRPr="0035150E">
              <w:rPr>
                <w:rFonts w:ascii="宋体" w:hAnsi="宋体" w:hint="eastAsia"/>
                <w:sz w:val="24"/>
                <w:szCs w:val="24"/>
              </w:rPr>
              <w:t>还</w:t>
            </w:r>
            <w:r w:rsidR="009A22B9">
              <w:rPr>
                <w:rFonts w:ascii="宋体" w:hAnsi="宋体" w:hint="eastAsia"/>
                <w:sz w:val="24"/>
                <w:szCs w:val="24"/>
              </w:rPr>
              <w:t>开发了</w:t>
            </w:r>
            <w:r w:rsidRPr="0035150E">
              <w:rPr>
                <w:rFonts w:ascii="宋体" w:hAnsi="宋体" w:hint="eastAsia"/>
                <w:sz w:val="24"/>
                <w:szCs w:val="24"/>
              </w:rPr>
              <w:t>工程管理系统、财务管理系统、人力资源系统、电子采购系统等，信息化保证了众多子公司的规范化、标准化管理。</w:t>
            </w:r>
          </w:p>
          <w:p w:rsidR="000031EC" w:rsidRPr="000031EC" w:rsidRDefault="0035150E" w:rsidP="0035150E">
            <w:pPr>
              <w:spacing w:line="480" w:lineRule="atLeast"/>
              <w:ind w:firstLineChars="200" w:firstLine="480"/>
              <w:rPr>
                <w:sz w:val="24"/>
                <w:szCs w:val="24"/>
              </w:rPr>
            </w:pPr>
            <w:r w:rsidRPr="0035150E">
              <w:rPr>
                <w:rFonts w:ascii="宋体" w:hAnsi="宋体" w:hint="eastAsia"/>
                <w:sz w:val="24"/>
                <w:szCs w:val="24"/>
              </w:rPr>
              <w:t>（2）管理方面：公司一直在推进标准化管理，包括生产管理、组织管理、业务流程的标准化。</w:t>
            </w:r>
            <w:r w:rsidR="00B97888" w:rsidRPr="00B97888">
              <w:rPr>
                <w:rFonts w:ascii="宋体" w:hAnsi="宋体" w:hint="eastAsia"/>
                <w:sz w:val="24"/>
                <w:szCs w:val="24"/>
              </w:rPr>
              <w:t>在内部管理提升的同时，公司还积极的借助外部资源，引进了国际知名的管理咨询机构、管理顾问专家，使公司管理团队与核心业务团队的视野更加开阔，思维更加活跃，对未来的发展方向和目标有了更清晰的规划</w:t>
            </w:r>
            <w:r w:rsidR="000031EC">
              <w:rPr>
                <w:rFonts w:ascii="宋体" w:hAnsi="宋体"/>
                <w:sz w:val="24"/>
                <w:szCs w:val="24"/>
              </w:rPr>
              <w:t>。</w:t>
            </w:r>
          </w:p>
          <w:p w:rsidR="000031EC" w:rsidRDefault="000031EC" w:rsidP="000031EC">
            <w:pPr>
              <w:spacing w:line="480" w:lineRule="atLeast"/>
              <w:rPr>
                <w:rFonts w:ascii="宋体" w:hAnsi="宋体"/>
                <w:sz w:val="24"/>
                <w:szCs w:val="24"/>
              </w:rPr>
            </w:pPr>
          </w:p>
          <w:p w:rsidR="00DC6739" w:rsidRDefault="000031EC" w:rsidP="000031EC">
            <w:pPr>
              <w:spacing w:line="480" w:lineRule="atLeast"/>
              <w:rPr>
                <w:b/>
                <w:bCs/>
                <w:iCs/>
                <w:sz w:val="24"/>
                <w:szCs w:val="24"/>
              </w:rPr>
            </w:pPr>
            <w:r>
              <w:rPr>
                <w:rFonts w:hint="eastAsia"/>
                <w:b/>
                <w:bCs/>
                <w:iCs/>
                <w:sz w:val="24"/>
                <w:szCs w:val="24"/>
              </w:rPr>
              <w:t>4</w:t>
            </w:r>
            <w:r>
              <w:rPr>
                <w:rFonts w:hint="eastAsia"/>
                <w:b/>
                <w:bCs/>
                <w:iCs/>
                <w:sz w:val="24"/>
                <w:szCs w:val="24"/>
              </w:rPr>
              <w:t>．</w:t>
            </w:r>
            <w:r w:rsidR="000A1EFA">
              <w:rPr>
                <w:rFonts w:hint="eastAsia"/>
                <w:b/>
                <w:bCs/>
                <w:iCs/>
                <w:sz w:val="24"/>
                <w:szCs w:val="24"/>
              </w:rPr>
              <w:t>此次定增是否受再融资政策</w:t>
            </w:r>
            <w:r w:rsidR="0055369F" w:rsidRPr="0055369F">
              <w:rPr>
                <w:rFonts w:hint="eastAsia"/>
                <w:b/>
                <w:bCs/>
                <w:iCs/>
                <w:sz w:val="24"/>
                <w:szCs w:val="24"/>
              </w:rPr>
              <w:t>影响？公</w:t>
            </w:r>
            <w:r w:rsidR="000A1EFA">
              <w:rPr>
                <w:rFonts w:hint="eastAsia"/>
                <w:b/>
                <w:bCs/>
                <w:iCs/>
                <w:sz w:val="24"/>
                <w:szCs w:val="24"/>
              </w:rPr>
              <w:t>司</w:t>
            </w:r>
            <w:r w:rsidR="009A22B9">
              <w:rPr>
                <w:rFonts w:hint="eastAsia"/>
                <w:b/>
                <w:bCs/>
                <w:iCs/>
                <w:sz w:val="24"/>
                <w:szCs w:val="24"/>
              </w:rPr>
              <w:t>此次</w:t>
            </w:r>
            <w:r w:rsidR="000A1EFA">
              <w:rPr>
                <w:rFonts w:hint="eastAsia"/>
                <w:b/>
                <w:bCs/>
                <w:iCs/>
                <w:sz w:val="24"/>
                <w:szCs w:val="24"/>
              </w:rPr>
              <w:t>定向增发有三年的锁定期，公司为什么选择这种方式</w:t>
            </w:r>
            <w:r w:rsidR="0055369F" w:rsidRPr="0055369F">
              <w:rPr>
                <w:rFonts w:hint="eastAsia"/>
                <w:b/>
                <w:bCs/>
                <w:iCs/>
                <w:sz w:val="24"/>
                <w:szCs w:val="24"/>
              </w:rPr>
              <w:t>？</w:t>
            </w:r>
          </w:p>
          <w:p w:rsidR="0055369F" w:rsidRPr="0055369F" w:rsidRDefault="0055369F" w:rsidP="0055369F">
            <w:pPr>
              <w:spacing w:line="480" w:lineRule="atLeast"/>
              <w:ind w:firstLineChars="200" w:firstLine="480"/>
              <w:rPr>
                <w:bCs/>
                <w:iCs/>
                <w:sz w:val="24"/>
                <w:szCs w:val="24"/>
              </w:rPr>
            </w:pPr>
            <w:r w:rsidRPr="0055369F">
              <w:rPr>
                <w:rFonts w:hint="eastAsia"/>
                <w:bCs/>
                <w:iCs/>
                <w:sz w:val="24"/>
                <w:szCs w:val="24"/>
              </w:rPr>
              <w:t>中国证监会</w:t>
            </w:r>
            <w:r w:rsidRPr="0055369F">
              <w:rPr>
                <w:rFonts w:hint="eastAsia"/>
                <w:bCs/>
                <w:iCs/>
                <w:sz w:val="24"/>
                <w:szCs w:val="24"/>
              </w:rPr>
              <w:t>2017</w:t>
            </w:r>
            <w:r w:rsidRPr="0055369F">
              <w:rPr>
                <w:rFonts w:hint="eastAsia"/>
                <w:bCs/>
                <w:iCs/>
                <w:sz w:val="24"/>
                <w:szCs w:val="24"/>
              </w:rPr>
              <w:t>年</w:t>
            </w:r>
            <w:r w:rsidRPr="0055369F">
              <w:rPr>
                <w:rFonts w:hint="eastAsia"/>
                <w:bCs/>
                <w:iCs/>
                <w:sz w:val="24"/>
                <w:szCs w:val="24"/>
              </w:rPr>
              <w:t>2</w:t>
            </w:r>
            <w:r w:rsidRPr="0055369F">
              <w:rPr>
                <w:rFonts w:hint="eastAsia"/>
                <w:bCs/>
                <w:iCs/>
                <w:sz w:val="24"/>
                <w:szCs w:val="24"/>
              </w:rPr>
              <w:t>月</w:t>
            </w:r>
            <w:r w:rsidRPr="0055369F">
              <w:rPr>
                <w:rFonts w:hint="eastAsia"/>
                <w:bCs/>
                <w:iCs/>
                <w:sz w:val="24"/>
                <w:szCs w:val="24"/>
              </w:rPr>
              <w:t>17</w:t>
            </w:r>
            <w:r w:rsidRPr="0055369F">
              <w:rPr>
                <w:rFonts w:hint="eastAsia"/>
                <w:bCs/>
                <w:iCs/>
                <w:sz w:val="24"/>
                <w:szCs w:val="24"/>
              </w:rPr>
              <w:t>日发布的《证监会完善上市公司非公开发行股票规则规范上市公司再融资》文件中提到“为实现规则平稳过渡，在适用时效上，《实施细则》和《监管问答》自发布或修订之日起实施，新受理的再融资申请即予执行，已经受理的不受影响。”公司非公开发行</w:t>
            </w:r>
            <w:r w:rsidRPr="0055369F">
              <w:rPr>
                <w:rFonts w:hint="eastAsia"/>
                <w:bCs/>
                <w:iCs/>
                <w:sz w:val="24"/>
                <w:szCs w:val="24"/>
              </w:rPr>
              <w:t>A</w:t>
            </w:r>
            <w:r w:rsidRPr="0055369F">
              <w:rPr>
                <w:rFonts w:hint="eastAsia"/>
                <w:bCs/>
                <w:iCs/>
                <w:sz w:val="24"/>
                <w:szCs w:val="24"/>
              </w:rPr>
              <w:t>股股票申请已于</w:t>
            </w:r>
            <w:r w:rsidRPr="0055369F">
              <w:rPr>
                <w:rFonts w:hint="eastAsia"/>
                <w:bCs/>
                <w:iCs/>
                <w:sz w:val="24"/>
                <w:szCs w:val="24"/>
              </w:rPr>
              <w:t>2016</w:t>
            </w:r>
            <w:r w:rsidRPr="0055369F">
              <w:rPr>
                <w:rFonts w:hint="eastAsia"/>
                <w:bCs/>
                <w:iCs/>
                <w:sz w:val="24"/>
                <w:szCs w:val="24"/>
              </w:rPr>
              <w:t>年</w:t>
            </w:r>
            <w:r w:rsidRPr="0055369F">
              <w:rPr>
                <w:rFonts w:hint="eastAsia"/>
                <w:bCs/>
                <w:iCs/>
                <w:sz w:val="24"/>
                <w:szCs w:val="24"/>
              </w:rPr>
              <w:t>11</w:t>
            </w:r>
            <w:r w:rsidRPr="0055369F">
              <w:rPr>
                <w:rFonts w:hint="eastAsia"/>
                <w:bCs/>
                <w:iCs/>
                <w:sz w:val="24"/>
                <w:szCs w:val="24"/>
              </w:rPr>
              <w:t>月</w:t>
            </w:r>
            <w:r w:rsidRPr="0055369F">
              <w:rPr>
                <w:rFonts w:hint="eastAsia"/>
                <w:bCs/>
                <w:iCs/>
                <w:sz w:val="24"/>
                <w:szCs w:val="24"/>
              </w:rPr>
              <w:t>18</w:t>
            </w:r>
            <w:r w:rsidRPr="0055369F">
              <w:rPr>
                <w:rFonts w:hint="eastAsia"/>
                <w:bCs/>
                <w:iCs/>
                <w:sz w:val="24"/>
                <w:szCs w:val="24"/>
              </w:rPr>
              <w:t>日经中国证券监督管理委员会发行审核委员会审核并获得通过，现在等待拿批文，不受此次再融资政策的影响。</w:t>
            </w:r>
          </w:p>
          <w:p w:rsidR="000031EC" w:rsidRPr="009A22B9" w:rsidRDefault="009A22B9" w:rsidP="000031EC">
            <w:pPr>
              <w:spacing w:line="480" w:lineRule="atLeast"/>
              <w:ind w:firstLineChars="200" w:firstLine="480"/>
              <w:rPr>
                <w:bCs/>
                <w:iCs/>
                <w:sz w:val="24"/>
                <w:szCs w:val="24"/>
              </w:rPr>
            </w:pPr>
            <w:r w:rsidRPr="005D39A6">
              <w:rPr>
                <w:bCs/>
                <w:iCs/>
                <w:sz w:val="24"/>
                <w:szCs w:val="24"/>
              </w:rPr>
              <w:t>本次</w:t>
            </w:r>
            <w:r w:rsidR="0082537D">
              <w:rPr>
                <w:rFonts w:hint="eastAsia"/>
                <w:bCs/>
                <w:iCs/>
                <w:sz w:val="24"/>
                <w:szCs w:val="24"/>
              </w:rPr>
              <w:t>定向增发</w:t>
            </w:r>
            <w:r w:rsidRPr="005D39A6">
              <w:rPr>
                <w:bCs/>
                <w:iCs/>
                <w:sz w:val="24"/>
                <w:szCs w:val="24"/>
              </w:rPr>
              <w:t>，不仅给公司带来资金上的支持，保障公司正常生产经营和持续发展，同时也将改善</w:t>
            </w:r>
            <w:bookmarkStart w:id="0" w:name="_GoBack"/>
            <w:bookmarkEnd w:id="0"/>
            <w:r w:rsidRPr="005D39A6">
              <w:rPr>
                <w:bCs/>
                <w:iCs/>
                <w:sz w:val="24"/>
                <w:szCs w:val="24"/>
              </w:rPr>
              <w:t>公司的股东结构，完善公司治理。同时，完善核心员工与全体</w:t>
            </w:r>
            <w:r w:rsidRPr="005D39A6">
              <w:rPr>
                <w:bCs/>
                <w:iCs/>
                <w:sz w:val="24"/>
                <w:szCs w:val="24"/>
              </w:rPr>
              <w:lastRenderedPageBreak/>
              <w:t>股东的利益共享和风险共担机制，提高员工的凝聚力和公司竞争力，实现股东、公司和员工利益的一致，提高公司治理水平，充分调动员工的积极性和创造性，实现公司长期、持续、健康发展。</w:t>
            </w:r>
          </w:p>
        </w:tc>
      </w:tr>
      <w:tr w:rsidR="00DC6739">
        <w:tc>
          <w:tcPr>
            <w:tcW w:w="2943" w:type="dxa"/>
            <w:vAlign w:val="center"/>
          </w:tcPr>
          <w:p w:rsidR="00DC6739" w:rsidRDefault="00F51A60">
            <w:pPr>
              <w:spacing w:line="480" w:lineRule="atLeast"/>
              <w:rPr>
                <w:b/>
                <w:bCs/>
                <w:iCs/>
                <w:sz w:val="24"/>
                <w:szCs w:val="24"/>
              </w:rPr>
            </w:pPr>
            <w:r>
              <w:rPr>
                <w:b/>
                <w:bCs/>
                <w:iCs/>
                <w:sz w:val="24"/>
                <w:szCs w:val="24"/>
              </w:rPr>
              <w:lastRenderedPageBreak/>
              <w:t>附件清单（如有）</w:t>
            </w:r>
          </w:p>
        </w:tc>
        <w:tc>
          <w:tcPr>
            <w:tcW w:w="5815" w:type="dxa"/>
          </w:tcPr>
          <w:p w:rsidR="00DC6739" w:rsidRDefault="00DC6739">
            <w:pPr>
              <w:spacing w:line="480" w:lineRule="atLeast"/>
              <w:rPr>
                <w:bCs/>
                <w:iCs/>
                <w:sz w:val="24"/>
                <w:szCs w:val="24"/>
              </w:rPr>
            </w:pPr>
          </w:p>
        </w:tc>
      </w:tr>
      <w:tr w:rsidR="00DC6739">
        <w:tc>
          <w:tcPr>
            <w:tcW w:w="2943" w:type="dxa"/>
            <w:vAlign w:val="center"/>
          </w:tcPr>
          <w:p w:rsidR="00DC6739" w:rsidRDefault="00F51A60">
            <w:pPr>
              <w:spacing w:line="480" w:lineRule="atLeast"/>
              <w:rPr>
                <w:b/>
                <w:bCs/>
                <w:iCs/>
                <w:sz w:val="24"/>
                <w:szCs w:val="24"/>
              </w:rPr>
            </w:pPr>
            <w:r>
              <w:rPr>
                <w:b/>
                <w:bCs/>
                <w:iCs/>
                <w:sz w:val="24"/>
                <w:szCs w:val="24"/>
              </w:rPr>
              <w:t>日期</w:t>
            </w:r>
          </w:p>
        </w:tc>
        <w:tc>
          <w:tcPr>
            <w:tcW w:w="5815" w:type="dxa"/>
          </w:tcPr>
          <w:p w:rsidR="00DC6739" w:rsidRDefault="00F51A60">
            <w:pPr>
              <w:spacing w:line="480" w:lineRule="atLeast"/>
              <w:rPr>
                <w:bCs/>
                <w:iCs/>
                <w:sz w:val="24"/>
                <w:szCs w:val="24"/>
              </w:rPr>
            </w:pPr>
            <w:r>
              <w:rPr>
                <w:bCs/>
                <w:iCs/>
                <w:sz w:val="24"/>
                <w:szCs w:val="24"/>
              </w:rPr>
              <w:t>2017</w:t>
            </w:r>
            <w:r>
              <w:rPr>
                <w:bCs/>
                <w:iCs/>
                <w:sz w:val="24"/>
                <w:szCs w:val="24"/>
              </w:rPr>
              <w:t>年</w:t>
            </w:r>
            <w:r w:rsidR="00D05DBA">
              <w:rPr>
                <w:rFonts w:hint="eastAsia"/>
                <w:bCs/>
                <w:iCs/>
                <w:sz w:val="24"/>
                <w:szCs w:val="24"/>
              </w:rPr>
              <w:t>3</w:t>
            </w:r>
            <w:r>
              <w:rPr>
                <w:bCs/>
                <w:iCs/>
                <w:sz w:val="24"/>
                <w:szCs w:val="24"/>
              </w:rPr>
              <w:t>月</w:t>
            </w:r>
            <w:r>
              <w:rPr>
                <w:rFonts w:hint="eastAsia"/>
                <w:bCs/>
                <w:iCs/>
                <w:sz w:val="24"/>
                <w:szCs w:val="24"/>
              </w:rPr>
              <w:t>2</w:t>
            </w:r>
            <w:r>
              <w:rPr>
                <w:bCs/>
                <w:iCs/>
                <w:sz w:val="24"/>
                <w:szCs w:val="24"/>
              </w:rPr>
              <w:t>日</w:t>
            </w:r>
          </w:p>
        </w:tc>
      </w:tr>
    </w:tbl>
    <w:p w:rsidR="00DC6739" w:rsidRDefault="00DC6739"/>
    <w:sectPr w:rsidR="00DC6739" w:rsidSect="00BC3B14">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228E" w:rsidRDefault="00DF228E">
      <w:r>
        <w:separator/>
      </w:r>
    </w:p>
  </w:endnote>
  <w:endnote w:type="continuationSeparator" w:id="1">
    <w:p w:rsidR="00DF228E" w:rsidRDefault="00DF228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F9E" w:rsidRDefault="003D5F9E">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F9E" w:rsidRDefault="003D5F9E">
    <w:pPr>
      <w:pStyle w:val="a6"/>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F9E" w:rsidRDefault="003D5F9E">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228E" w:rsidRDefault="00DF228E">
      <w:r>
        <w:separator/>
      </w:r>
    </w:p>
  </w:footnote>
  <w:footnote w:type="continuationSeparator" w:id="1">
    <w:p w:rsidR="00DF228E" w:rsidRDefault="00DF228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F9E" w:rsidRDefault="003D5F9E">
    <w:pPr>
      <w:pStyle w:val="a7"/>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C6739" w:rsidRDefault="00DC6739" w:rsidP="003D5F9E">
    <w:pPr>
      <w:pStyle w:val="a7"/>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5F9E" w:rsidRDefault="003D5F9E">
    <w:pPr>
      <w:pStyle w:val="a7"/>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819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172A27"/>
    <w:rsid w:val="000031EC"/>
    <w:rsid w:val="00033068"/>
    <w:rsid w:val="000A1459"/>
    <w:rsid w:val="000A1EFA"/>
    <w:rsid w:val="000A5F67"/>
    <w:rsid w:val="000F7CC5"/>
    <w:rsid w:val="001161D3"/>
    <w:rsid w:val="00136158"/>
    <w:rsid w:val="00150C84"/>
    <w:rsid w:val="00172A27"/>
    <w:rsid w:val="001C029F"/>
    <w:rsid w:val="001F5A26"/>
    <w:rsid w:val="00231362"/>
    <w:rsid w:val="00255686"/>
    <w:rsid w:val="00266819"/>
    <w:rsid w:val="002B4405"/>
    <w:rsid w:val="002C427A"/>
    <w:rsid w:val="002D6DD8"/>
    <w:rsid w:val="00331839"/>
    <w:rsid w:val="003346B6"/>
    <w:rsid w:val="00350EDB"/>
    <w:rsid w:val="0035150E"/>
    <w:rsid w:val="00377CE9"/>
    <w:rsid w:val="003D5F9E"/>
    <w:rsid w:val="003E2E24"/>
    <w:rsid w:val="003F556D"/>
    <w:rsid w:val="004741DD"/>
    <w:rsid w:val="00480E1C"/>
    <w:rsid w:val="00482D78"/>
    <w:rsid w:val="00483322"/>
    <w:rsid w:val="00493AB8"/>
    <w:rsid w:val="004B167B"/>
    <w:rsid w:val="004F7BE5"/>
    <w:rsid w:val="00515D22"/>
    <w:rsid w:val="0055369F"/>
    <w:rsid w:val="005B56FC"/>
    <w:rsid w:val="006053C4"/>
    <w:rsid w:val="00650BB8"/>
    <w:rsid w:val="006C7C5F"/>
    <w:rsid w:val="006D5329"/>
    <w:rsid w:val="00755EDB"/>
    <w:rsid w:val="007575F6"/>
    <w:rsid w:val="00783653"/>
    <w:rsid w:val="007D02AA"/>
    <w:rsid w:val="007D2CE7"/>
    <w:rsid w:val="00801D92"/>
    <w:rsid w:val="0082537D"/>
    <w:rsid w:val="00830302"/>
    <w:rsid w:val="00833A3C"/>
    <w:rsid w:val="00861D89"/>
    <w:rsid w:val="008904F3"/>
    <w:rsid w:val="008B356C"/>
    <w:rsid w:val="00901F76"/>
    <w:rsid w:val="00917F96"/>
    <w:rsid w:val="009559C7"/>
    <w:rsid w:val="00982EE3"/>
    <w:rsid w:val="00992C8D"/>
    <w:rsid w:val="009A22B9"/>
    <w:rsid w:val="009B0253"/>
    <w:rsid w:val="009B3519"/>
    <w:rsid w:val="00A3162E"/>
    <w:rsid w:val="00A733FA"/>
    <w:rsid w:val="00A82A69"/>
    <w:rsid w:val="00AA346F"/>
    <w:rsid w:val="00AC6EED"/>
    <w:rsid w:val="00B10041"/>
    <w:rsid w:val="00B15C03"/>
    <w:rsid w:val="00B325B2"/>
    <w:rsid w:val="00B3318B"/>
    <w:rsid w:val="00B93240"/>
    <w:rsid w:val="00B97888"/>
    <w:rsid w:val="00BA0959"/>
    <w:rsid w:val="00BB1A97"/>
    <w:rsid w:val="00BC3B14"/>
    <w:rsid w:val="00BF1A00"/>
    <w:rsid w:val="00BF7CFB"/>
    <w:rsid w:val="00C15763"/>
    <w:rsid w:val="00C320C7"/>
    <w:rsid w:val="00C37F77"/>
    <w:rsid w:val="00C513CC"/>
    <w:rsid w:val="00C83D63"/>
    <w:rsid w:val="00C83DF1"/>
    <w:rsid w:val="00C91F3E"/>
    <w:rsid w:val="00CB1138"/>
    <w:rsid w:val="00D05DBA"/>
    <w:rsid w:val="00D47B5E"/>
    <w:rsid w:val="00D96478"/>
    <w:rsid w:val="00DC6739"/>
    <w:rsid w:val="00DD4EFC"/>
    <w:rsid w:val="00DF2171"/>
    <w:rsid w:val="00DF228E"/>
    <w:rsid w:val="00E83656"/>
    <w:rsid w:val="00E943BA"/>
    <w:rsid w:val="00E96858"/>
    <w:rsid w:val="00EB5052"/>
    <w:rsid w:val="00ED0E94"/>
    <w:rsid w:val="00F16C2A"/>
    <w:rsid w:val="00F50B30"/>
    <w:rsid w:val="00F51A60"/>
    <w:rsid w:val="00F70A2E"/>
    <w:rsid w:val="00F862B2"/>
    <w:rsid w:val="00F942C3"/>
    <w:rsid w:val="00FC3DF7"/>
    <w:rsid w:val="00FE502E"/>
    <w:rsid w:val="018C22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uiPriority="0" w:unhideWhenUsed="0"/>
    <w:lsdException w:name="header" w:semiHidden="0" w:uiPriority="0" w:unhideWhenUsed="0"/>
    <w:lsdException w:name="footer" w:semiHidden="0" w:uiPriority="0" w:unhideWhenUsed="0"/>
    <w:lsdException w:name="caption" w:uiPriority="35" w:qFormat="1"/>
    <w:lsdException w:name="annotation reference" w:semiHidden="0" w:uiPriority="0" w:unhideWhenUsed="0"/>
    <w:lsdException w:name="page number" w:semiHidden="0" w:uiPriority="0" w:unhideWhenUsed="0"/>
    <w:lsdException w:name="Title" w:semiHidden="0" w:uiPriority="10" w:unhideWhenUsed="0" w:qFormat="1"/>
    <w:lsdException w:name="Default Paragraph Font" w:semiHidden="0" w:uiPriority="0"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annotation subject" w:semiHidden="0" w:uiPriority="0" w:unhideWhenUsed="0"/>
    <w:lsdException w:name="Balloon Text" w:semiHidden="0" w:uiPriority="0" w:unhideWhenUsed="0"/>
    <w:lsdException w:name="Table Grid" w:uiPriority="5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3B14"/>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Char"/>
    <w:rsid w:val="00BC3B14"/>
    <w:rPr>
      <w:b/>
      <w:bCs/>
    </w:rPr>
  </w:style>
  <w:style w:type="paragraph" w:styleId="a4">
    <w:name w:val="annotation text"/>
    <w:basedOn w:val="a"/>
    <w:link w:val="Char0"/>
    <w:rsid w:val="00BC3B14"/>
    <w:pPr>
      <w:jc w:val="left"/>
    </w:pPr>
  </w:style>
  <w:style w:type="paragraph" w:styleId="a5">
    <w:name w:val="Balloon Text"/>
    <w:basedOn w:val="a"/>
    <w:link w:val="Char1"/>
    <w:rsid w:val="00BC3B14"/>
    <w:rPr>
      <w:sz w:val="18"/>
      <w:szCs w:val="18"/>
    </w:rPr>
  </w:style>
  <w:style w:type="paragraph" w:styleId="a6">
    <w:name w:val="footer"/>
    <w:basedOn w:val="a"/>
    <w:rsid w:val="00BC3B14"/>
    <w:pPr>
      <w:tabs>
        <w:tab w:val="center" w:pos="4153"/>
        <w:tab w:val="right" w:pos="8306"/>
      </w:tabs>
      <w:snapToGrid w:val="0"/>
      <w:jc w:val="left"/>
    </w:pPr>
    <w:rPr>
      <w:sz w:val="18"/>
      <w:szCs w:val="18"/>
    </w:rPr>
  </w:style>
  <w:style w:type="paragraph" w:styleId="a7">
    <w:name w:val="header"/>
    <w:basedOn w:val="a"/>
    <w:rsid w:val="00BC3B14"/>
    <w:pPr>
      <w:pBdr>
        <w:bottom w:val="single" w:sz="6" w:space="1" w:color="auto"/>
      </w:pBdr>
      <w:tabs>
        <w:tab w:val="center" w:pos="4153"/>
        <w:tab w:val="right" w:pos="8306"/>
      </w:tabs>
      <w:snapToGrid w:val="0"/>
      <w:jc w:val="center"/>
    </w:pPr>
    <w:rPr>
      <w:rFonts w:ascii="Calibri" w:hAnsi="Calibri"/>
      <w:kern w:val="0"/>
      <w:sz w:val="18"/>
      <w:szCs w:val="18"/>
    </w:rPr>
  </w:style>
  <w:style w:type="character" w:styleId="a8">
    <w:name w:val="page number"/>
    <w:basedOn w:val="a0"/>
    <w:rsid w:val="00BC3B14"/>
  </w:style>
  <w:style w:type="character" w:styleId="a9">
    <w:name w:val="annotation reference"/>
    <w:rsid w:val="00BC3B14"/>
    <w:rPr>
      <w:sz w:val="21"/>
      <w:szCs w:val="21"/>
    </w:rPr>
  </w:style>
  <w:style w:type="paragraph" w:customStyle="1" w:styleId="aa">
    <w:basedOn w:val="a"/>
    <w:qFormat/>
    <w:rsid w:val="00BC3B14"/>
    <w:pPr>
      <w:ind w:firstLineChars="200" w:firstLine="420"/>
    </w:pPr>
    <w:rPr>
      <w:rFonts w:ascii="Calibri" w:hAnsi="Calibri"/>
      <w:szCs w:val="22"/>
    </w:rPr>
  </w:style>
  <w:style w:type="paragraph" w:customStyle="1" w:styleId="Default">
    <w:name w:val="Default"/>
    <w:rsid w:val="00BC3B14"/>
    <w:pPr>
      <w:widowControl w:val="0"/>
      <w:autoSpaceDE w:val="0"/>
      <w:autoSpaceDN w:val="0"/>
    </w:pPr>
    <w:rPr>
      <w:rFonts w:ascii="宋体" w:hAnsi="宋体" w:hint="eastAsia"/>
      <w:color w:val="000000"/>
      <w:sz w:val="24"/>
    </w:rPr>
  </w:style>
  <w:style w:type="character" w:customStyle="1" w:styleId="Char">
    <w:name w:val="批注主题 Char"/>
    <w:link w:val="a3"/>
    <w:rsid w:val="00BC3B14"/>
    <w:rPr>
      <w:b/>
      <w:bCs/>
      <w:kern w:val="2"/>
      <w:sz w:val="21"/>
    </w:rPr>
  </w:style>
  <w:style w:type="character" w:customStyle="1" w:styleId="Char0">
    <w:name w:val="批注文字 Char"/>
    <w:link w:val="a4"/>
    <w:rsid w:val="00BC3B14"/>
    <w:rPr>
      <w:kern w:val="2"/>
      <w:sz w:val="21"/>
    </w:rPr>
  </w:style>
  <w:style w:type="character" w:customStyle="1" w:styleId="Char1">
    <w:name w:val="批注框文本 Char"/>
    <w:link w:val="a5"/>
    <w:rsid w:val="00BC3B14"/>
    <w:rPr>
      <w:kern w:val="2"/>
      <w:sz w:val="18"/>
      <w:szCs w:val="18"/>
    </w:rPr>
  </w:style>
</w:styles>
</file>

<file path=word/webSettings.xml><?xml version="1.0" encoding="utf-8"?>
<w:webSettings xmlns:r="http://schemas.openxmlformats.org/officeDocument/2006/relationships" xmlns:w="http://schemas.openxmlformats.org/wordprocessingml/2006/main">
  <w:divs>
    <w:div w:id="562715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227</Words>
  <Characters>1295</Characters>
  <Application>Microsoft Office Word</Application>
  <DocSecurity>0</DocSecurity>
  <Lines>10</Lines>
  <Paragraphs>3</Paragraphs>
  <ScaleCrop>false</ScaleCrop>
  <Company>微软中国</Company>
  <LinksUpToDate>false</LinksUpToDate>
  <CharactersWithSpaces>1519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附件二：投资者关系活动记录表格式</dc:title>
  <dc:creator>Administrator</dc:creator>
  <cp:lastModifiedBy>邢雯雯</cp:lastModifiedBy>
  <cp:revision>3</cp:revision>
  <dcterms:created xsi:type="dcterms:W3CDTF">2017-03-03T07:45:00Z</dcterms:created>
  <dcterms:modified xsi:type="dcterms:W3CDTF">2017-03-03T07:48:00Z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2052-10.1.0.6028</vt:lpwstr>
  </property>
</Properties>
</file>