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spacing w:beforeLines="50" w:afterLines="50" w:line="400" w:lineRule="exact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证券代码</w:t>
            </w:r>
            <w:r>
              <w:rPr>
                <w:rFonts w:hint="eastAsia"/>
                <w:bCs/>
                <w:iCs/>
                <w:sz w:val="24"/>
              </w:rPr>
              <w:t>：</w:t>
            </w:r>
            <w:r>
              <w:rPr>
                <w:bCs/>
                <w:iCs/>
                <w:sz w:val="24"/>
              </w:rPr>
              <w:t>002714</w:t>
            </w:r>
          </w:p>
        </w:tc>
        <w:tc>
          <w:tcPr>
            <w:tcW w:w="4261" w:type="dxa"/>
          </w:tcPr>
          <w:p>
            <w:pPr>
              <w:spacing w:beforeLines="50" w:afterLines="50" w:line="400" w:lineRule="exact"/>
              <w:jc w:val="right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证券简称：牧原股份</w:t>
            </w:r>
          </w:p>
        </w:tc>
      </w:tr>
    </w:tbl>
    <w:p>
      <w:pPr>
        <w:spacing w:beforeLines="50" w:afterLines="50" w:line="400" w:lineRule="exact"/>
        <w:rPr>
          <w:bCs/>
          <w:iCs/>
          <w:sz w:val="24"/>
        </w:rPr>
      </w:pPr>
    </w:p>
    <w:p>
      <w:pPr>
        <w:spacing w:beforeLines="50" w:afterLines="50" w:line="400" w:lineRule="exact"/>
        <w:jc w:val="center"/>
        <w:rPr>
          <w:b/>
          <w:bCs/>
          <w:iCs/>
          <w:sz w:val="36"/>
          <w:szCs w:val="24"/>
        </w:rPr>
      </w:pPr>
      <w:r>
        <w:rPr>
          <w:b/>
          <w:bCs/>
          <w:iCs/>
          <w:sz w:val="36"/>
          <w:szCs w:val="24"/>
        </w:rPr>
        <w:t>牧原食品股份有限公司</w:t>
      </w:r>
      <w:bookmarkStart w:id="0" w:name="_GoBack"/>
      <w:bookmarkEnd w:id="0"/>
    </w:p>
    <w:p>
      <w:pPr>
        <w:spacing w:beforeLines="50" w:afterLines="50" w:line="400" w:lineRule="exact"/>
        <w:jc w:val="center"/>
        <w:rPr>
          <w:b/>
          <w:bCs/>
          <w:iCs/>
          <w:sz w:val="36"/>
          <w:szCs w:val="24"/>
        </w:rPr>
      </w:pPr>
      <w:r>
        <w:rPr>
          <w:b/>
          <w:bCs/>
          <w:iCs/>
          <w:sz w:val="36"/>
          <w:szCs w:val="24"/>
        </w:rPr>
        <w:t>投资者关系活动记录表</w:t>
      </w:r>
    </w:p>
    <w:p>
      <w:pPr>
        <w:spacing w:line="400" w:lineRule="exact"/>
        <w:jc w:val="right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编号：</w:t>
      </w:r>
      <w:r>
        <w:rPr>
          <w:rFonts w:hint="eastAsia"/>
          <w:bCs/>
          <w:iCs/>
          <w:sz w:val="24"/>
          <w:szCs w:val="24"/>
        </w:rPr>
        <w:t>2017-09</w:t>
      </w:r>
    </w:p>
    <w:tbl>
      <w:tblPr>
        <w:tblStyle w:val="11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58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投资者关系活动类别</w:t>
            </w:r>
          </w:p>
          <w:p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5815" w:type="dxa"/>
          </w:tcPr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 xml:space="preserve">√ </w:t>
            </w:r>
            <w:r>
              <w:rPr>
                <w:sz w:val="24"/>
                <w:szCs w:val="24"/>
              </w:rPr>
              <w:t>特定对象调研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分析师会议</w:t>
            </w:r>
          </w:p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媒体采访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业绩说明会</w:t>
            </w:r>
          </w:p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新闻发布会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路演活动</w:t>
            </w:r>
          </w:p>
          <w:p>
            <w:pPr>
              <w:tabs>
                <w:tab w:val="left" w:pos="3045"/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现场参观</w:t>
            </w:r>
            <w:r>
              <w:rPr>
                <w:bCs/>
                <w:iCs/>
                <w:sz w:val="24"/>
                <w:szCs w:val="24"/>
              </w:rPr>
              <w:tab/>
            </w:r>
          </w:p>
          <w:p>
            <w:pPr>
              <w:tabs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其他（</w:t>
            </w:r>
            <w:r>
              <w:rPr>
                <w:sz w:val="24"/>
                <w:szCs w:val="24"/>
                <w:u w:val="single"/>
              </w:rPr>
              <w:t>请文字说明其他活动内容）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参与单位名称及人员姓名</w:t>
            </w:r>
          </w:p>
        </w:tc>
        <w:tc>
          <w:tcPr>
            <w:tcW w:w="5815" w:type="dxa"/>
          </w:tcPr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招商证券周莎</w:t>
            </w:r>
          </w:p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平安证券王海亮</w:t>
            </w:r>
          </w:p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国泰君安赵瑞</w:t>
            </w:r>
            <w:r>
              <w:rPr>
                <w:rFonts w:hint="eastAsia"/>
                <w:bCs/>
                <w:iCs/>
                <w:sz w:val="24"/>
                <w:szCs w:val="24"/>
              </w:rPr>
              <w:tab/>
            </w:r>
          </w:p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平安资管吕泽楠</w:t>
            </w:r>
          </w:p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东方资管周云</w:t>
            </w:r>
          </w:p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上投摩根基金李核</w:t>
            </w:r>
          </w:p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涌峰投资龙飞</w:t>
            </w:r>
          </w:p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万吨资产张炜舜</w:t>
            </w:r>
          </w:p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东吴人寿徐玲玲</w:t>
            </w:r>
          </w:p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相聚资本张翔</w:t>
            </w:r>
          </w:p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银石投资潘俊</w:t>
            </w:r>
          </w:p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天岸马投资李炯</w:t>
            </w:r>
          </w:p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富道投资王小军</w:t>
            </w:r>
            <w:r>
              <w:rPr>
                <w:rFonts w:hint="eastAsia"/>
                <w:bCs/>
                <w:iCs/>
                <w:sz w:val="24"/>
                <w:szCs w:val="24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时间</w:t>
            </w:r>
          </w:p>
        </w:tc>
        <w:tc>
          <w:tcPr>
            <w:tcW w:w="5815" w:type="dxa"/>
          </w:tcPr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201</w:t>
            </w:r>
            <w:r>
              <w:rPr>
                <w:rFonts w:hint="eastAsia"/>
                <w:bCs/>
                <w:iCs/>
                <w:sz w:val="24"/>
                <w:szCs w:val="24"/>
              </w:rPr>
              <w:t>7</w:t>
            </w:r>
            <w:r>
              <w:rPr>
                <w:bCs/>
                <w:iCs/>
                <w:sz w:val="24"/>
                <w:szCs w:val="24"/>
              </w:rPr>
              <w:t>年</w:t>
            </w:r>
            <w:r>
              <w:rPr>
                <w:rFonts w:hint="eastAsia"/>
                <w:bCs/>
                <w:iCs/>
                <w:sz w:val="24"/>
                <w:szCs w:val="24"/>
              </w:rPr>
              <w:t>7</w:t>
            </w:r>
            <w:r>
              <w:rPr>
                <w:bCs/>
                <w:iCs/>
                <w:sz w:val="24"/>
                <w:szCs w:val="24"/>
              </w:rPr>
              <w:t>月</w:t>
            </w:r>
            <w:r>
              <w:rPr>
                <w:rFonts w:hint="eastAsia"/>
                <w:bCs/>
                <w:iCs/>
                <w:sz w:val="24"/>
                <w:szCs w:val="24"/>
              </w:rPr>
              <w:t>11</w:t>
            </w:r>
            <w:r>
              <w:rPr>
                <w:bCs/>
                <w:iCs/>
                <w:sz w:val="24"/>
                <w:szCs w:val="24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地点</w:t>
            </w:r>
          </w:p>
        </w:tc>
        <w:tc>
          <w:tcPr>
            <w:tcW w:w="5815" w:type="dxa"/>
          </w:tcPr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公司总部会议室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上市公司接待人员姓名</w:t>
            </w:r>
          </w:p>
        </w:tc>
        <w:tc>
          <w:tcPr>
            <w:tcW w:w="5815" w:type="dxa"/>
          </w:tcPr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董事会秘书、副总经理秦军</w:t>
            </w:r>
          </w:p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证券事务代表曹芳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8758" w:type="dxa"/>
            <w:gridSpan w:val="2"/>
          </w:tcPr>
          <w:p>
            <w:pPr>
              <w:pStyle w:val="17"/>
              <w:spacing w:line="480" w:lineRule="atLeast"/>
              <w:ind w:left="360" w:firstLine="3132" w:firstLineChars="1300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会谈内容</w:t>
            </w:r>
          </w:p>
          <w:p>
            <w:pPr>
              <w:pStyle w:val="17"/>
              <w:numPr>
                <w:ilvl w:val="0"/>
                <w:numId w:val="1"/>
              </w:numPr>
              <w:spacing w:line="480" w:lineRule="atLeast"/>
              <w:ind w:firstLineChars="0"/>
              <w:rPr>
                <w:b/>
                <w:bCs/>
                <w:iCs/>
                <w:sz w:val="24"/>
                <w:szCs w:val="24"/>
              </w:rPr>
            </w:pPr>
            <w:r>
              <w:rPr>
                <w:rFonts w:hint="eastAsia"/>
                <w:b/>
                <w:bCs/>
                <w:iCs/>
                <w:sz w:val="24"/>
                <w:szCs w:val="24"/>
              </w:rPr>
              <w:t>公司成本控制水平领先，主要是什么原因？</w:t>
            </w:r>
          </w:p>
          <w:p>
            <w:pPr>
              <w:spacing w:line="480" w:lineRule="atLeast"/>
              <w:ind w:firstLine="480" w:firstLineChars="200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公司的成本控制能力主要体现在以下几个方面：</w:t>
            </w:r>
          </w:p>
          <w:p>
            <w:pPr>
              <w:spacing w:line="480" w:lineRule="atLeast"/>
              <w:ind w:firstLine="480" w:firstLineChars="200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（</w:t>
            </w:r>
            <w:r>
              <w:rPr>
                <w:bCs/>
                <w:iCs/>
                <w:sz w:val="24"/>
                <w:szCs w:val="24"/>
              </w:rPr>
              <w:t>1</w:t>
            </w:r>
            <w:r>
              <w:rPr>
                <w:rFonts w:hint="eastAsia"/>
                <w:bCs/>
                <w:iCs/>
                <w:sz w:val="24"/>
                <w:szCs w:val="24"/>
              </w:rPr>
              <w:t>）原粮采购和饲料生产成本低。子公司布局在粮食主产区，原则上就近收购原粮，运输成本较低；营养团队研发出精细化的配方，在保证营养需求的基础上减少营养浪费；公司在每个子公司设置自有的饲料厂，散装运输且运输半径相对较小，节省了部分成本。</w:t>
            </w:r>
          </w:p>
          <w:p>
            <w:pPr>
              <w:spacing w:line="480" w:lineRule="atLeast"/>
              <w:ind w:firstLine="480" w:firstLineChars="200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（</w:t>
            </w:r>
            <w:r>
              <w:rPr>
                <w:bCs/>
                <w:iCs/>
                <w:sz w:val="24"/>
                <w:szCs w:val="24"/>
              </w:rPr>
              <w:t>2</w:t>
            </w:r>
            <w:r>
              <w:rPr>
                <w:rFonts w:hint="eastAsia"/>
                <w:bCs/>
                <w:iCs/>
                <w:sz w:val="24"/>
                <w:szCs w:val="24"/>
              </w:rPr>
              <w:t>）技术经验丰富。公司经过25年的发展，在生猪育种、营养配方、疾病防控等方面积累了丰富的技术经验，这些技术积累最终体现在生产指标和利润指标上，降低了部分成本。</w:t>
            </w:r>
          </w:p>
          <w:p>
            <w:pPr>
              <w:spacing w:line="480" w:lineRule="atLeast"/>
              <w:ind w:firstLine="480" w:firstLineChars="200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（3）劳动效率高。公司自行研制的自动化饲喂系统，水电、温度等自动化控制系统，大大提高了生产效率，在育肥阶段每个饲养员可以同时饲养</w:t>
            </w:r>
            <w:r>
              <w:rPr>
                <w:bCs/>
                <w:iCs/>
                <w:sz w:val="24"/>
                <w:szCs w:val="24"/>
              </w:rPr>
              <w:t>2,700-3,600</w:t>
            </w:r>
            <w:r>
              <w:rPr>
                <w:rFonts w:hint="eastAsia"/>
                <w:bCs/>
                <w:iCs/>
                <w:sz w:val="24"/>
                <w:szCs w:val="24"/>
              </w:rPr>
              <w:t>头育肥猪，劳动效率处于行业领先水平。</w:t>
            </w:r>
          </w:p>
          <w:p>
            <w:pPr>
              <w:spacing w:line="480" w:lineRule="atLeast"/>
              <w:ind w:firstLine="480" w:firstLineChars="200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（</w:t>
            </w:r>
            <w:r>
              <w:rPr>
                <w:bCs/>
                <w:iCs/>
                <w:sz w:val="24"/>
                <w:szCs w:val="24"/>
              </w:rPr>
              <w:t>4</w:t>
            </w:r>
            <w:r>
              <w:rPr>
                <w:rFonts w:hint="eastAsia"/>
                <w:bCs/>
                <w:iCs/>
                <w:sz w:val="24"/>
                <w:szCs w:val="24"/>
              </w:rPr>
              <w:t>）现场管理严格。生猪养殖是对现场管理要求较高的行业，公司在不断提高产仔率、降低料肉比等生产指标的基础上，饲养员严格按照作业标准，控制水电的消耗，公司制定严格的考核标准，降低了部分成本。</w:t>
            </w:r>
          </w:p>
          <w:p>
            <w:pPr>
              <w:spacing w:line="480" w:lineRule="atLeast"/>
              <w:ind w:firstLine="480" w:firstLineChars="200"/>
              <w:rPr>
                <w:rFonts w:ascii="宋体" w:hAnsi="宋体"/>
                <w:sz w:val="24"/>
                <w:szCs w:val="24"/>
              </w:rPr>
            </w:pPr>
          </w:p>
          <w:p>
            <w:pPr>
              <w:pStyle w:val="7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Times New Roman" w:hAnsi="Times New Roman" w:cs="Times New Roman"/>
                <w:b/>
                <w:bCs/>
                <w:iCs/>
                <w:kern w:val="2"/>
              </w:rPr>
            </w:pPr>
            <w:r>
              <w:rPr>
                <w:rFonts w:hint="eastAsia" w:ascii="Times New Roman" w:hAnsi="Times New Roman" w:cs="Times New Roman"/>
                <w:b/>
                <w:bCs/>
                <w:iCs/>
                <w:kern w:val="2"/>
              </w:rPr>
              <w:t>从成长性的角度来看，公司的固定资产投资计划是怎样的？</w:t>
            </w:r>
          </w:p>
          <w:p>
            <w:pPr>
              <w:spacing w:line="480" w:lineRule="atLeast"/>
              <w:ind w:firstLine="480" w:firstLineChars="200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目前，中国生猪养殖业的行业集中度比较低，未来还有很大的发展空间。从养殖结构来看，中小养殖规模仍然占较大比重，且近两年来由于环保和风险认知的因素，中小养殖场存在限制建设和被拆迁的情况。从历史发展经验来看，规模化养殖是行业发展趋势，整个行业的更新升级需要以千亿为单位的固定资产投资。</w:t>
            </w:r>
          </w:p>
          <w:p>
            <w:pPr>
              <w:spacing w:line="480" w:lineRule="atLeast"/>
              <w:ind w:firstLine="480" w:firstLineChars="200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2016年公司的资本支出在40亿元左右。由于行业集中度低，从长期来看，公司的投资计划会逐步增加。同时也会根据市场行情，结合公司的需求，动态的调整投融资进度，在不断优化公司财务结构的基础上，使公司保持稳健的发展状态。</w:t>
            </w:r>
          </w:p>
          <w:p>
            <w:pPr>
              <w:spacing w:line="480" w:lineRule="atLeast"/>
              <w:ind w:firstLine="480" w:firstLineChars="200"/>
              <w:rPr>
                <w:bCs/>
                <w:iCs/>
                <w:sz w:val="24"/>
                <w:szCs w:val="24"/>
              </w:rPr>
            </w:pPr>
          </w:p>
          <w:p>
            <w:pPr>
              <w:pStyle w:val="17"/>
              <w:numPr>
                <w:ilvl w:val="0"/>
                <w:numId w:val="2"/>
              </w:numPr>
              <w:spacing w:line="480" w:lineRule="atLeast"/>
              <w:ind w:firstLineChars="0"/>
              <w:rPr>
                <w:b/>
                <w:bCs/>
                <w:iCs/>
                <w:sz w:val="24"/>
                <w:szCs w:val="24"/>
              </w:rPr>
            </w:pPr>
            <w:r>
              <w:rPr>
                <w:rFonts w:hint="eastAsia"/>
                <w:b/>
                <w:bCs/>
                <w:iCs/>
                <w:sz w:val="24"/>
                <w:szCs w:val="24"/>
              </w:rPr>
              <w:t>异地快速扩张的时候，子公司和员工的管理是否会有难度？</w:t>
            </w:r>
          </w:p>
          <w:p>
            <w:pPr>
              <w:spacing w:line="480" w:lineRule="atLeast"/>
              <w:ind w:firstLine="480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公司目前在全国12个粮食主产省布局了67个子公司（包括一个粮食贸易公司正在注册），</w:t>
            </w:r>
            <w:r>
              <w:rPr>
                <w:rFonts w:hint="eastAsia" w:cs="Calibri"/>
                <w:sz w:val="24"/>
                <w:szCs w:val="24"/>
              </w:rPr>
              <w:t>近</w:t>
            </w:r>
            <w:r>
              <w:rPr>
                <w:rFonts w:hint="eastAsia"/>
                <w:bCs/>
                <w:iCs/>
                <w:sz w:val="24"/>
                <w:szCs w:val="24"/>
              </w:rPr>
              <w:t>年来公司快速的发展速度和严格的质量要求，对人才和管理提出了更高的要求。公司在重视育种、生产、防疫等技术研发的同时，对经营管理也制订了更高的标准。</w:t>
            </w:r>
          </w:p>
          <w:p>
            <w:pPr>
              <w:pStyle w:val="7"/>
              <w:spacing w:before="0" w:beforeAutospacing="0" w:after="0" w:afterAutospacing="0" w:line="480" w:lineRule="atLeast"/>
              <w:ind w:firstLine="480" w:firstLineChars="200"/>
              <w:rPr>
                <w:rFonts w:ascii="Times New Roman" w:hAnsi="Times New Roman" w:cs="Times New Roman"/>
                <w:bCs/>
                <w:iCs/>
                <w:kern w:val="2"/>
              </w:rPr>
            </w:pPr>
            <w:r>
              <w:rPr>
                <w:rFonts w:hint="eastAsia" w:ascii="Times New Roman" w:hAnsi="Times New Roman" w:cs="Times New Roman"/>
                <w:bCs/>
                <w:iCs/>
                <w:kern w:val="2"/>
              </w:rPr>
              <w:t>（</w:t>
            </w:r>
            <w:r>
              <w:rPr>
                <w:rFonts w:ascii="Times New Roman" w:hAnsi="Times New Roman" w:cs="Times New Roman"/>
                <w:bCs/>
                <w:iCs/>
                <w:kern w:val="2"/>
              </w:rPr>
              <w:t>1</w:t>
            </w:r>
            <w:r>
              <w:rPr>
                <w:rFonts w:hint="eastAsia" w:ascii="Times New Roman" w:hAnsi="Times New Roman" w:cs="Times New Roman"/>
                <w:bCs/>
                <w:iCs/>
                <w:kern w:val="2"/>
              </w:rPr>
              <w:t>）重视信息化建设。公司从</w:t>
            </w:r>
            <w:r>
              <w:rPr>
                <w:rFonts w:ascii="Times New Roman" w:hAnsi="Times New Roman" w:cs="Times New Roman"/>
                <w:bCs/>
                <w:iCs/>
                <w:kern w:val="2"/>
              </w:rPr>
              <w:t>2013</w:t>
            </w:r>
            <w:r>
              <w:rPr>
                <w:rFonts w:hint="eastAsia" w:ascii="Times New Roman" w:hAnsi="Times New Roman" w:cs="Times New Roman"/>
                <w:bCs/>
                <w:iCs/>
                <w:kern w:val="2"/>
              </w:rPr>
              <w:t>年开始上线</w:t>
            </w:r>
            <w:r>
              <w:rPr>
                <w:rFonts w:ascii="Times New Roman" w:hAnsi="Times New Roman" w:cs="Times New Roman"/>
                <w:bCs/>
                <w:iCs/>
                <w:kern w:val="2"/>
              </w:rPr>
              <w:t>ERP</w:t>
            </w:r>
            <w:r>
              <w:rPr>
                <w:rFonts w:hint="eastAsia" w:ascii="Times New Roman" w:hAnsi="Times New Roman" w:cs="Times New Roman"/>
                <w:bCs/>
                <w:iCs/>
                <w:kern w:val="2"/>
              </w:rPr>
              <w:t>系统，运用信息化进行管理。在养猪环节，公司开发了生产管理系统，对养殖过程进行详细的追踪和记录，保障食品安全，同时作为饲养员绩效考核的基础。公司还开发了工程管理系统、财务管理系统、人力资源系统、电子采购系统等，信息化保证了众多子公司的规范化、标准化管理。</w:t>
            </w:r>
          </w:p>
          <w:p>
            <w:pPr>
              <w:pStyle w:val="7"/>
              <w:spacing w:before="0" w:beforeAutospacing="0" w:after="0" w:afterAutospacing="0" w:line="480" w:lineRule="atLeast"/>
              <w:ind w:firstLine="480" w:firstLineChars="200"/>
              <w:rPr>
                <w:rFonts w:ascii="Times New Roman" w:hAnsi="Times New Roman" w:cs="Times New Roman"/>
                <w:bCs/>
                <w:iCs/>
                <w:kern w:val="2"/>
              </w:rPr>
            </w:pPr>
            <w:r>
              <w:rPr>
                <w:rFonts w:hint="eastAsia" w:ascii="Times New Roman" w:hAnsi="Times New Roman" w:cs="Times New Roman"/>
                <w:bCs/>
                <w:iCs/>
                <w:kern w:val="2"/>
              </w:rPr>
              <w:t>（</w:t>
            </w:r>
            <w:r>
              <w:rPr>
                <w:rFonts w:ascii="Times New Roman" w:hAnsi="Times New Roman" w:cs="Times New Roman"/>
                <w:bCs/>
                <w:iCs/>
                <w:kern w:val="2"/>
              </w:rPr>
              <w:t>2</w:t>
            </w:r>
            <w:r>
              <w:rPr>
                <w:rFonts w:hint="eastAsia" w:ascii="Times New Roman" w:hAnsi="Times New Roman" w:cs="Times New Roman"/>
                <w:bCs/>
                <w:iCs/>
                <w:kern w:val="2"/>
              </w:rPr>
              <w:t>）推进标准化管理。公司早些年已在内乡完成了标准化模型的建立，在环保、食品安全和劳动效率等方面保持着优势，这也是近两年来快速发展的前提和保障。目前各子公司都在复制母公司的养殖模式，实现标准化管理。</w:t>
            </w:r>
          </w:p>
          <w:p>
            <w:pPr>
              <w:pStyle w:val="7"/>
              <w:spacing w:before="0" w:beforeAutospacing="0" w:after="0" w:afterAutospacing="0" w:line="480" w:lineRule="atLeast"/>
              <w:ind w:firstLine="480" w:firstLineChars="200"/>
              <w:rPr>
                <w:rFonts w:ascii="Times New Roman" w:hAnsi="Times New Roman" w:cs="Times New Roman"/>
                <w:bCs/>
                <w:iCs/>
                <w:kern w:val="2"/>
              </w:rPr>
            </w:pPr>
            <w:r>
              <w:rPr>
                <w:rFonts w:hint="eastAsia" w:ascii="Times New Roman" w:hAnsi="Times New Roman" w:cs="Times New Roman"/>
                <w:bCs/>
                <w:iCs/>
                <w:kern w:val="2"/>
              </w:rPr>
              <w:t>（</w:t>
            </w:r>
            <w:r>
              <w:rPr>
                <w:rFonts w:ascii="Times New Roman" w:hAnsi="Times New Roman" w:cs="Times New Roman"/>
                <w:bCs/>
                <w:iCs/>
                <w:kern w:val="2"/>
              </w:rPr>
              <w:t>3</w:t>
            </w:r>
            <w:r>
              <w:rPr>
                <w:rFonts w:hint="eastAsia" w:ascii="Times New Roman" w:hAnsi="Times New Roman" w:cs="Times New Roman"/>
                <w:bCs/>
                <w:iCs/>
                <w:kern w:val="2"/>
              </w:rPr>
              <w:t>）注重人才的培养。立足于公司的长远发展，着力人才培训体系建设和员工业务技能提升的基础上，积极引进外部资源，和国际知名的管理咨询机构和专家保持常态化的交流，使公司的员工视野更加开拓；并且公司已经成功实施两期员工持股计划，人数达</w:t>
            </w:r>
            <w:r>
              <w:rPr>
                <w:rFonts w:ascii="Times New Roman" w:hAnsi="Times New Roman" w:cs="Times New Roman"/>
                <w:bCs/>
                <w:iCs/>
                <w:kern w:val="2"/>
              </w:rPr>
              <w:t>700</w:t>
            </w:r>
            <w:r>
              <w:rPr>
                <w:rFonts w:hint="eastAsia" w:ascii="Times New Roman" w:hAnsi="Times New Roman" w:cs="Times New Roman"/>
                <w:bCs/>
                <w:iCs/>
                <w:kern w:val="2"/>
              </w:rPr>
              <w:t>余人，目前正在筹划第三期员工持股计划，加之以师徒文化、母子工程等良好的企业文化，有助于提高员工的凝聚力和公司竞争力，能够有效调动员工的积极性和创造性，从而促进公司长期、持续、健康发展。</w:t>
            </w:r>
          </w:p>
          <w:p>
            <w:pPr>
              <w:spacing w:line="480" w:lineRule="atLeast"/>
              <w:ind w:firstLine="0" w:firstLineChars="0"/>
              <w:rPr>
                <w:rFonts w:ascii="宋体" w:hAnsi="宋体"/>
                <w:sz w:val="24"/>
                <w:szCs w:val="24"/>
              </w:rPr>
            </w:pPr>
          </w:p>
          <w:p>
            <w:pPr>
              <w:pStyle w:val="7"/>
              <w:spacing w:before="0" w:beforeAutospacing="0" w:after="0" w:afterAutospacing="0" w:line="480" w:lineRule="atLeast"/>
              <w:rPr>
                <w:rFonts w:ascii="Times New Roman" w:hAnsi="Times New Roman" w:cs="Times New Roman"/>
                <w:b/>
                <w:bCs/>
                <w:iCs/>
                <w:kern w:val="2"/>
              </w:rPr>
            </w:pPr>
            <w:r>
              <w:rPr>
                <w:rFonts w:hint="eastAsia" w:ascii="Times New Roman" w:hAnsi="Times New Roman" w:cs="Times New Roman"/>
                <w:b/>
                <w:bCs/>
                <w:iCs/>
                <w:kern w:val="2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b/>
                <w:bCs/>
                <w:iCs/>
                <w:kern w:val="2"/>
              </w:rPr>
              <w:t>．猪价低迷期公司会怎样应对？</w:t>
            </w:r>
          </w:p>
          <w:p>
            <w:pPr>
              <w:pStyle w:val="7"/>
              <w:spacing w:before="0" w:beforeAutospacing="0" w:after="0" w:afterAutospacing="0" w:line="480" w:lineRule="atLeast"/>
              <w:ind w:firstLine="480" w:firstLineChars="200"/>
              <w:rPr>
                <w:rFonts w:ascii="Times New Roman" w:hAnsi="Times New Roman" w:cs="Times New Roman"/>
                <w:bCs/>
                <w:iCs/>
                <w:kern w:val="2"/>
              </w:rPr>
            </w:pPr>
            <w:r>
              <w:rPr>
                <w:rFonts w:hint="eastAsia" w:ascii="Times New Roman" w:hAnsi="Times New Roman" w:cs="Times New Roman"/>
                <w:bCs/>
                <w:iCs/>
                <w:kern w:val="2"/>
              </w:rPr>
              <w:t>由于中国巨大的生猪养殖基数和养殖结构的现状，在未来的几年，“猪周期”仍然会存在。整个行业都会面临着周期性的价格波动。</w:t>
            </w:r>
          </w:p>
          <w:p>
            <w:pPr>
              <w:pStyle w:val="7"/>
              <w:spacing w:before="0" w:beforeAutospacing="0" w:after="0" w:afterAutospacing="0" w:line="480" w:lineRule="atLeast"/>
              <w:ind w:firstLine="480" w:firstLineChars="200"/>
              <w:rPr>
                <w:rFonts w:ascii="Times New Roman" w:hAnsi="Times New Roman" w:cs="Times New Roman"/>
                <w:bCs/>
                <w:iCs/>
                <w:kern w:val="2"/>
              </w:rPr>
            </w:pPr>
            <w:r>
              <w:rPr>
                <w:rFonts w:hint="eastAsia" w:ascii="Times New Roman" w:hAnsi="Times New Roman" w:cs="Times New Roman"/>
                <w:bCs/>
                <w:iCs/>
                <w:kern w:val="2"/>
              </w:rPr>
              <w:t>公司会继续提升管理，提高生产指标和生产效率，优化成本控制，提升公司盈利能力。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vAlign w:val="center"/>
          </w:tcPr>
          <w:p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附件清单（如有）</w:t>
            </w:r>
          </w:p>
        </w:tc>
        <w:tc>
          <w:tcPr>
            <w:tcW w:w="5815" w:type="dxa"/>
          </w:tcPr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vAlign w:val="center"/>
          </w:tcPr>
          <w:p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日期</w:t>
            </w:r>
          </w:p>
        </w:tc>
        <w:tc>
          <w:tcPr>
            <w:tcW w:w="5815" w:type="dxa"/>
          </w:tcPr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2017年</w:t>
            </w:r>
            <w:r>
              <w:rPr>
                <w:rFonts w:hint="eastAsia"/>
                <w:bCs/>
                <w:iCs/>
                <w:sz w:val="24"/>
                <w:szCs w:val="24"/>
              </w:rPr>
              <w:t>7</w:t>
            </w:r>
            <w:r>
              <w:rPr>
                <w:bCs/>
                <w:iCs/>
                <w:sz w:val="24"/>
                <w:szCs w:val="24"/>
              </w:rPr>
              <w:t>月</w:t>
            </w:r>
            <w:r>
              <w:rPr>
                <w:rFonts w:hint="eastAsia"/>
                <w:bCs/>
                <w:iCs/>
                <w:sz w:val="24"/>
                <w:szCs w:val="24"/>
              </w:rPr>
              <w:t>11</w:t>
            </w:r>
            <w:r>
              <w:rPr>
                <w:bCs/>
                <w:iCs/>
                <w:sz w:val="24"/>
                <w:szCs w:val="24"/>
              </w:rPr>
              <w:t>日</w:t>
            </w:r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CE6E2A"/>
    <w:multiLevelType w:val="multilevel"/>
    <w:tmpl w:val="35CE6E2A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7234464"/>
    <w:multiLevelType w:val="multilevel"/>
    <w:tmpl w:val="47234464"/>
    <w:lvl w:ilvl="0" w:tentative="0">
      <w:start w:val="1"/>
      <w:numFmt w:val="decimal"/>
      <w:lvlText w:val="%1．"/>
      <w:lvlJc w:val="left"/>
      <w:pPr>
        <w:ind w:left="372" w:hanging="37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31EC"/>
    <w:rsid w:val="00033068"/>
    <w:rsid w:val="00034320"/>
    <w:rsid w:val="00043006"/>
    <w:rsid w:val="000A1459"/>
    <w:rsid w:val="000A1EFA"/>
    <w:rsid w:val="000A5F67"/>
    <w:rsid w:val="000B4C95"/>
    <w:rsid w:val="000D37A1"/>
    <w:rsid w:val="000F7CC5"/>
    <w:rsid w:val="001109AF"/>
    <w:rsid w:val="001161D3"/>
    <w:rsid w:val="001241C9"/>
    <w:rsid w:val="00136158"/>
    <w:rsid w:val="001364E4"/>
    <w:rsid w:val="001407CC"/>
    <w:rsid w:val="00150C84"/>
    <w:rsid w:val="0015463D"/>
    <w:rsid w:val="00172A27"/>
    <w:rsid w:val="001850DF"/>
    <w:rsid w:val="001A420D"/>
    <w:rsid w:val="001B0AB4"/>
    <w:rsid w:val="001C029F"/>
    <w:rsid w:val="001E2099"/>
    <w:rsid w:val="001F5A26"/>
    <w:rsid w:val="002049D9"/>
    <w:rsid w:val="00221633"/>
    <w:rsid w:val="00231362"/>
    <w:rsid w:val="00233BB1"/>
    <w:rsid w:val="0024236E"/>
    <w:rsid w:val="00255686"/>
    <w:rsid w:val="00255FA9"/>
    <w:rsid w:val="00266819"/>
    <w:rsid w:val="00272398"/>
    <w:rsid w:val="002879CB"/>
    <w:rsid w:val="002B4405"/>
    <w:rsid w:val="002C427A"/>
    <w:rsid w:val="002D6DD8"/>
    <w:rsid w:val="00331839"/>
    <w:rsid w:val="003346B6"/>
    <w:rsid w:val="00350EDB"/>
    <w:rsid w:val="0035150E"/>
    <w:rsid w:val="003523B1"/>
    <w:rsid w:val="003560D9"/>
    <w:rsid w:val="00367FAA"/>
    <w:rsid w:val="00377CE9"/>
    <w:rsid w:val="00381347"/>
    <w:rsid w:val="0038328A"/>
    <w:rsid w:val="00390408"/>
    <w:rsid w:val="003A3004"/>
    <w:rsid w:val="003D5F9E"/>
    <w:rsid w:val="003E2E24"/>
    <w:rsid w:val="003F556D"/>
    <w:rsid w:val="00425C6A"/>
    <w:rsid w:val="00426FC3"/>
    <w:rsid w:val="004465C5"/>
    <w:rsid w:val="004741DD"/>
    <w:rsid w:val="00477613"/>
    <w:rsid w:val="004803E7"/>
    <w:rsid w:val="00480E1C"/>
    <w:rsid w:val="00482D78"/>
    <w:rsid w:val="00483322"/>
    <w:rsid w:val="00493AB8"/>
    <w:rsid w:val="0049672A"/>
    <w:rsid w:val="004B167B"/>
    <w:rsid w:val="004B6DD9"/>
    <w:rsid w:val="004B7723"/>
    <w:rsid w:val="004F7BE5"/>
    <w:rsid w:val="00515D22"/>
    <w:rsid w:val="00517B20"/>
    <w:rsid w:val="0055369F"/>
    <w:rsid w:val="005A0F1B"/>
    <w:rsid w:val="005A4390"/>
    <w:rsid w:val="005B2C37"/>
    <w:rsid w:val="005B4B41"/>
    <w:rsid w:val="005B56FC"/>
    <w:rsid w:val="005C3028"/>
    <w:rsid w:val="005D6FA6"/>
    <w:rsid w:val="005E1396"/>
    <w:rsid w:val="005E1A38"/>
    <w:rsid w:val="005E3D5B"/>
    <w:rsid w:val="00600FF5"/>
    <w:rsid w:val="006053C4"/>
    <w:rsid w:val="00650BB8"/>
    <w:rsid w:val="0067431E"/>
    <w:rsid w:val="00685C92"/>
    <w:rsid w:val="006C3D1D"/>
    <w:rsid w:val="006C7C5F"/>
    <w:rsid w:val="006D0255"/>
    <w:rsid w:val="006D5329"/>
    <w:rsid w:val="006F397F"/>
    <w:rsid w:val="007066C1"/>
    <w:rsid w:val="00755EDB"/>
    <w:rsid w:val="007575F6"/>
    <w:rsid w:val="0076092E"/>
    <w:rsid w:val="00783653"/>
    <w:rsid w:val="00787CFE"/>
    <w:rsid w:val="007A0441"/>
    <w:rsid w:val="007A6845"/>
    <w:rsid w:val="007D02AA"/>
    <w:rsid w:val="007D2CE7"/>
    <w:rsid w:val="00801D92"/>
    <w:rsid w:val="0082537D"/>
    <w:rsid w:val="00830302"/>
    <w:rsid w:val="00833A3C"/>
    <w:rsid w:val="00844C89"/>
    <w:rsid w:val="00845F88"/>
    <w:rsid w:val="008567F3"/>
    <w:rsid w:val="00861D89"/>
    <w:rsid w:val="00876EF5"/>
    <w:rsid w:val="008904F3"/>
    <w:rsid w:val="008B356C"/>
    <w:rsid w:val="008E6C20"/>
    <w:rsid w:val="00901F76"/>
    <w:rsid w:val="00917F96"/>
    <w:rsid w:val="00940495"/>
    <w:rsid w:val="009559C7"/>
    <w:rsid w:val="00982EE3"/>
    <w:rsid w:val="00984E7F"/>
    <w:rsid w:val="00985036"/>
    <w:rsid w:val="00992C8D"/>
    <w:rsid w:val="009964FF"/>
    <w:rsid w:val="009A22B9"/>
    <w:rsid w:val="009B0253"/>
    <w:rsid w:val="009B3519"/>
    <w:rsid w:val="009C584E"/>
    <w:rsid w:val="009C74E9"/>
    <w:rsid w:val="00A028B8"/>
    <w:rsid w:val="00A03466"/>
    <w:rsid w:val="00A127FD"/>
    <w:rsid w:val="00A3162E"/>
    <w:rsid w:val="00A46C69"/>
    <w:rsid w:val="00A61D74"/>
    <w:rsid w:val="00A733FA"/>
    <w:rsid w:val="00A82A69"/>
    <w:rsid w:val="00AA346F"/>
    <w:rsid w:val="00AA62CC"/>
    <w:rsid w:val="00AC6EED"/>
    <w:rsid w:val="00AD6DD7"/>
    <w:rsid w:val="00B10041"/>
    <w:rsid w:val="00B15C03"/>
    <w:rsid w:val="00B325B2"/>
    <w:rsid w:val="00B3318B"/>
    <w:rsid w:val="00B81469"/>
    <w:rsid w:val="00B93240"/>
    <w:rsid w:val="00B97888"/>
    <w:rsid w:val="00BA0959"/>
    <w:rsid w:val="00BA3FE5"/>
    <w:rsid w:val="00BA7A88"/>
    <w:rsid w:val="00BB1A97"/>
    <w:rsid w:val="00BC3B14"/>
    <w:rsid w:val="00BC76EF"/>
    <w:rsid w:val="00BD7BFD"/>
    <w:rsid w:val="00BD7CAF"/>
    <w:rsid w:val="00BF1A00"/>
    <w:rsid w:val="00BF4EBE"/>
    <w:rsid w:val="00BF7CFB"/>
    <w:rsid w:val="00C04404"/>
    <w:rsid w:val="00C0725B"/>
    <w:rsid w:val="00C10DB6"/>
    <w:rsid w:val="00C15763"/>
    <w:rsid w:val="00C16F1A"/>
    <w:rsid w:val="00C23239"/>
    <w:rsid w:val="00C30155"/>
    <w:rsid w:val="00C320C7"/>
    <w:rsid w:val="00C37F77"/>
    <w:rsid w:val="00C513CC"/>
    <w:rsid w:val="00C54DBC"/>
    <w:rsid w:val="00C63327"/>
    <w:rsid w:val="00C65F4F"/>
    <w:rsid w:val="00C6719D"/>
    <w:rsid w:val="00C83D63"/>
    <w:rsid w:val="00C83DF1"/>
    <w:rsid w:val="00C86795"/>
    <w:rsid w:val="00C91F3E"/>
    <w:rsid w:val="00CA1EAB"/>
    <w:rsid w:val="00CB1138"/>
    <w:rsid w:val="00CB4FE3"/>
    <w:rsid w:val="00CE49BD"/>
    <w:rsid w:val="00D05DBA"/>
    <w:rsid w:val="00D2334E"/>
    <w:rsid w:val="00D46E1E"/>
    <w:rsid w:val="00D47B5E"/>
    <w:rsid w:val="00D605BD"/>
    <w:rsid w:val="00D6237D"/>
    <w:rsid w:val="00D847FC"/>
    <w:rsid w:val="00D96478"/>
    <w:rsid w:val="00DC6739"/>
    <w:rsid w:val="00DD4EFC"/>
    <w:rsid w:val="00DF2171"/>
    <w:rsid w:val="00DF228E"/>
    <w:rsid w:val="00E0357D"/>
    <w:rsid w:val="00E06420"/>
    <w:rsid w:val="00E16715"/>
    <w:rsid w:val="00E434B4"/>
    <w:rsid w:val="00E5115B"/>
    <w:rsid w:val="00E73231"/>
    <w:rsid w:val="00E773AC"/>
    <w:rsid w:val="00E83656"/>
    <w:rsid w:val="00E87F69"/>
    <w:rsid w:val="00E943BA"/>
    <w:rsid w:val="00E96858"/>
    <w:rsid w:val="00EB5052"/>
    <w:rsid w:val="00ED0E94"/>
    <w:rsid w:val="00F16C2A"/>
    <w:rsid w:val="00F17069"/>
    <w:rsid w:val="00F22D10"/>
    <w:rsid w:val="00F334A0"/>
    <w:rsid w:val="00F41BA8"/>
    <w:rsid w:val="00F50B30"/>
    <w:rsid w:val="00F51A60"/>
    <w:rsid w:val="00F70A2E"/>
    <w:rsid w:val="00F862B2"/>
    <w:rsid w:val="00F942C3"/>
    <w:rsid w:val="00FC3DF7"/>
    <w:rsid w:val="00FE502E"/>
    <w:rsid w:val="018C22E1"/>
    <w:rsid w:val="14EC5E93"/>
    <w:rsid w:val="21BF74EF"/>
    <w:rsid w:val="27336568"/>
    <w:rsid w:val="28D266C7"/>
    <w:rsid w:val="6329744A"/>
    <w:rsid w:val="6A527027"/>
    <w:rsid w:val="7137340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11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14"/>
    <w:uiPriority w:val="0"/>
    <w:rPr>
      <w:b/>
      <w:bCs/>
    </w:rPr>
  </w:style>
  <w:style w:type="paragraph" w:styleId="3">
    <w:name w:val="annotation text"/>
    <w:basedOn w:val="1"/>
    <w:link w:val="15"/>
    <w:uiPriority w:val="0"/>
    <w:pPr>
      <w:jc w:val="left"/>
    </w:pPr>
  </w:style>
  <w:style w:type="paragraph" w:styleId="4">
    <w:name w:val="Balloon Text"/>
    <w:basedOn w:val="1"/>
    <w:link w:val="16"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page number"/>
    <w:basedOn w:val="8"/>
    <w:qFormat/>
    <w:uiPriority w:val="0"/>
  </w:style>
  <w:style w:type="character" w:styleId="10">
    <w:name w:val="annotation reference"/>
    <w:uiPriority w:val="0"/>
    <w:rPr>
      <w:sz w:val="21"/>
      <w:szCs w:val="21"/>
    </w:rPr>
  </w:style>
  <w:style w:type="paragraph" w:customStyle="1" w:styleId="12">
    <w:name w:val="_Style 10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13">
    <w:name w:val="Default"/>
    <w:uiPriority w:val="0"/>
    <w:pPr>
      <w:widowControl w:val="0"/>
      <w:autoSpaceDE w:val="0"/>
      <w:autoSpaceDN w:val="0"/>
    </w:pPr>
    <w:rPr>
      <w:rFonts w:hint="eastAsia" w:ascii="宋体" w:hAnsi="宋体" w:eastAsia="宋体" w:cs="Times New Roman"/>
      <w:color w:val="000000"/>
      <w:sz w:val="24"/>
      <w:lang w:val="en-US" w:eastAsia="zh-CN" w:bidi="ar-SA"/>
    </w:rPr>
  </w:style>
  <w:style w:type="character" w:customStyle="1" w:styleId="14">
    <w:name w:val="批注主题 Char"/>
    <w:link w:val="2"/>
    <w:uiPriority w:val="0"/>
    <w:rPr>
      <w:b/>
      <w:bCs/>
      <w:kern w:val="2"/>
      <w:sz w:val="21"/>
    </w:rPr>
  </w:style>
  <w:style w:type="character" w:customStyle="1" w:styleId="15">
    <w:name w:val="批注文字 Char"/>
    <w:link w:val="3"/>
    <w:uiPriority w:val="0"/>
    <w:rPr>
      <w:kern w:val="2"/>
      <w:sz w:val="21"/>
    </w:rPr>
  </w:style>
  <w:style w:type="character" w:customStyle="1" w:styleId="16">
    <w:name w:val="批注框文本 Char"/>
    <w:link w:val="4"/>
    <w:uiPriority w:val="0"/>
    <w:rPr>
      <w:kern w:val="2"/>
      <w:sz w:val="18"/>
      <w:szCs w:val="18"/>
    </w:rPr>
  </w:style>
  <w:style w:type="paragraph" w:customStyle="1" w:styleId="17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293</Words>
  <Characters>1673</Characters>
  <Lines>13</Lines>
  <Paragraphs>3</Paragraphs>
  <TotalTime>0</TotalTime>
  <ScaleCrop>false</ScaleCrop>
  <LinksUpToDate>false</LinksUpToDate>
  <CharactersWithSpaces>1963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2017-05-22T10:01:00Z</dcterms:created>
  <dc:creator>Administrator</dc:creator>
  <cp:lastModifiedBy>Administrator</cp:lastModifiedBy>
  <dcterms:modified xsi:type="dcterms:W3CDTF">2017-07-13T01:44:51Z</dcterms:modified>
  <dc:title>附件二：投资者关系活动记录表格式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