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3715F">
        <w:tc>
          <w:tcPr>
            <w:tcW w:w="4261" w:type="dxa"/>
          </w:tcPr>
          <w:p w:rsidR="0093715F" w:rsidRDefault="00B60306" w:rsidP="00441AF0">
            <w:pPr>
              <w:spacing w:beforeLines="50" w:before="156" w:afterLines="50" w:after="156" w:line="400" w:lineRule="exact"/>
              <w:ind w:firstLineChars="50" w:firstLine="12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证券代码</w:t>
            </w:r>
            <w:r>
              <w:rPr>
                <w:rFonts w:hint="eastAsia"/>
                <w:bCs/>
                <w:iCs/>
                <w:sz w:val="24"/>
              </w:rPr>
              <w:t>：</w:t>
            </w:r>
            <w:r>
              <w:rPr>
                <w:bCs/>
                <w:iCs/>
                <w:sz w:val="24"/>
              </w:rPr>
              <w:t>002714</w:t>
            </w:r>
          </w:p>
        </w:tc>
        <w:tc>
          <w:tcPr>
            <w:tcW w:w="4261" w:type="dxa"/>
          </w:tcPr>
          <w:p w:rsidR="0093715F" w:rsidRDefault="00B60306">
            <w:pPr>
              <w:spacing w:beforeLines="50" w:before="156" w:afterLines="50" w:after="156" w:line="400" w:lineRule="exact"/>
              <w:jc w:val="righ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证券简称：</w:t>
            </w:r>
            <w:proofErr w:type="gramStart"/>
            <w:r>
              <w:rPr>
                <w:bCs/>
                <w:iCs/>
                <w:sz w:val="24"/>
              </w:rPr>
              <w:t>牧原股份</w:t>
            </w:r>
            <w:proofErr w:type="gramEnd"/>
          </w:p>
        </w:tc>
      </w:tr>
    </w:tbl>
    <w:p w:rsidR="0093715F" w:rsidRDefault="0093715F">
      <w:pPr>
        <w:spacing w:beforeLines="50" w:before="156" w:afterLines="50" w:after="156" w:line="400" w:lineRule="exact"/>
        <w:rPr>
          <w:bCs/>
          <w:iCs/>
          <w:sz w:val="24"/>
        </w:rPr>
      </w:pPr>
    </w:p>
    <w:p w:rsidR="0093715F" w:rsidRDefault="00B60306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proofErr w:type="gramStart"/>
      <w:r>
        <w:rPr>
          <w:b/>
          <w:bCs/>
          <w:iCs/>
          <w:sz w:val="36"/>
          <w:szCs w:val="24"/>
        </w:rPr>
        <w:t>牧原食品</w:t>
      </w:r>
      <w:proofErr w:type="gramEnd"/>
      <w:r>
        <w:rPr>
          <w:b/>
          <w:bCs/>
          <w:iCs/>
          <w:sz w:val="36"/>
          <w:szCs w:val="24"/>
        </w:rPr>
        <w:t>股份有限公司</w:t>
      </w:r>
    </w:p>
    <w:p w:rsidR="0093715F" w:rsidRDefault="00B60306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r>
        <w:rPr>
          <w:b/>
          <w:bCs/>
          <w:iCs/>
          <w:sz w:val="36"/>
          <w:szCs w:val="24"/>
        </w:rPr>
        <w:t>投资者关系活动记录表</w:t>
      </w:r>
    </w:p>
    <w:p w:rsidR="0093715F" w:rsidRDefault="00B60306">
      <w:pPr>
        <w:spacing w:line="400" w:lineRule="exact"/>
        <w:jc w:val="right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编号：</w:t>
      </w:r>
      <w:r>
        <w:rPr>
          <w:rFonts w:hint="eastAsia"/>
          <w:bCs/>
          <w:iCs/>
          <w:sz w:val="24"/>
          <w:szCs w:val="24"/>
        </w:rPr>
        <w:t>201</w:t>
      </w:r>
      <w:r>
        <w:rPr>
          <w:bCs/>
          <w:iCs/>
          <w:sz w:val="24"/>
          <w:szCs w:val="24"/>
        </w:rPr>
        <w:t>9</w:t>
      </w:r>
      <w:r>
        <w:rPr>
          <w:rFonts w:hint="eastAsia"/>
          <w:bCs/>
          <w:iCs/>
          <w:sz w:val="24"/>
          <w:szCs w:val="24"/>
        </w:rPr>
        <w:t>-0</w:t>
      </w:r>
      <w:r>
        <w:rPr>
          <w:bCs/>
          <w:iCs/>
          <w:sz w:val="24"/>
          <w:szCs w:val="24"/>
        </w:rPr>
        <w:t>6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5815"/>
      </w:tblGrid>
      <w:tr w:rsidR="0093715F">
        <w:tc>
          <w:tcPr>
            <w:tcW w:w="2943" w:type="dxa"/>
          </w:tcPr>
          <w:p w:rsidR="0093715F" w:rsidRDefault="00B603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  <w:p w:rsidR="0093715F" w:rsidRDefault="0093715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5815" w:type="dxa"/>
          </w:tcPr>
          <w:p w:rsidR="0093715F" w:rsidRDefault="00B603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特定对象调研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分析师会议</w:t>
            </w:r>
          </w:p>
          <w:p w:rsidR="0093715F" w:rsidRDefault="00B603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媒体采访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业绩说明会</w:t>
            </w:r>
          </w:p>
          <w:p w:rsidR="0093715F" w:rsidRDefault="00B603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新闻发布会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路演活动</w:t>
            </w:r>
          </w:p>
          <w:p w:rsidR="0093715F" w:rsidRDefault="00B60306"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现场参观</w:t>
            </w:r>
            <w:r>
              <w:rPr>
                <w:bCs/>
                <w:iCs/>
                <w:sz w:val="24"/>
                <w:szCs w:val="24"/>
              </w:rPr>
              <w:tab/>
            </w:r>
          </w:p>
          <w:p w:rsidR="0093715F" w:rsidRDefault="00B60306"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√</w:t>
            </w:r>
            <w:r>
              <w:rPr>
                <w:sz w:val="24"/>
                <w:szCs w:val="24"/>
              </w:rPr>
              <w:t>其他（</w:t>
            </w:r>
            <w:r>
              <w:rPr>
                <w:rFonts w:hint="eastAsia"/>
                <w:sz w:val="24"/>
                <w:szCs w:val="24"/>
                <w:u w:val="single"/>
              </w:rPr>
              <w:t>2019</w:t>
            </w:r>
            <w:r>
              <w:rPr>
                <w:rFonts w:hint="eastAsia"/>
                <w:sz w:val="24"/>
                <w:szCs w:val="24"/>
                <w:u w:val="single"/>
              </w:rPr>
              <w:t>年第四次</w:t>
            </w:r>
            <w:r>
              <w:rPr>
                <w:sz w:val="24"/>
                <w:szCs w:val="24"/>
                <w:u w:val="single"/>
              </w:rPr>
              <w:t>临时股东大会）</w:t>
            </w:r>
          </w:p>
        </w:tc>
      </w:tr>
      <w:tr w:rsidR="0093715F">
        <w:tc>
          <w:tcPr>
            <w:tcW w:w="2943" w:type="dxa"/>
          </w:tcPr>
          <w:p w:rsidR="0093715F" w:rsidRDefault="00B603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5815" w:type="dxa"/>
          </w:tcPr>
          <w:p w:rsidR="008A4C99" w:rsidRDefault="008A4C99" w:rsidP="008A4C9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D63A02">
              <w:rPr>
                <w:rFonts w:hint="eastAsia"/>
                <w:bCs/>
                <w:iCs/>
                <w:sz w:val="24"/>
                <w:szCs w:val="24"/>
              </w:rPr>
              <w:t>鸿宝集团</w:t>
            </w:r>
            <w:r>
              <w:rPr>
                <w:rFonts w:hint="eastAsia"/>
                <w:bCs/>
                <w:iCs/>
                <w:sz w:val="24"/>
                <w:szCs w:val="24"/>
              </w:rPr>
              <w:t xml:space="preserve">  </w:t>
            </w:r>
            <w:r w:rsidRPr="00D63A02">
              <w:rPr>
                <w:rFonts w:hint="eastAsia"/>
                <w:bCs/>
                <w:iCs/>
                <w:sz w:val="24"/>
                <w:szCs w:val="24"/>
              </w:rPr>
              <w:t>宣俊杰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D63A02">
              <w:rPr>
                <w:rFonts w:hint="eastAsia"/>
                <w:bCs/>
                <w:iCs/>
                <w:sz w:val="24"/>
                <w:szCs w:val="24"/>
              </w:rPr>
              <w:t>孟华伟</w:t>
            </w:r>
          </w:p>
          <w:p w:rsidR="008A4C99" w:rsidRDefault="008A4C99" w:rsidP="008A4C9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D63A02">
              <w:rPr>
                <w:rFonts w:hint="eastAsia"/>
                <w:bCs/>
                <w:iCs/>
                <w:sz w:val="24"/>
                <w:szCs w:val="24"/>
              </w:rPr>
              <w:t>招商证券</w:t>
            </w:r>
            <w:r>
              <w:rPr>
                <w:rFonts w:hint="eastAsia"/>
                <w:bCs/>
                <w:iCs/>
                <w:sz w:val="24"/>
                <w:szCs w:val="24"/>
              </w:rPr>
              <w:t xml:space="preserve">  </w:t>
            </w:r>
            <w:r w:rsidRPr="00D63A02">
              <w:rPr>
                <w:rFonts w:hint="eastAsia"/>
                <w:bCs/>
                <w:iCs/>
                <w:sz w:val="24"/>
                <w:szCs w:val="24"/>
              </w:rPr>
              <w:t>雷轶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D63A02">
              <w:rPr>
                <w:rFonts w:hint="eastAsia"/>
                <w:bCs/>
                <w:iCs/>
                <w:sz w:val="24"/>
                <w:szCs w:val="24"/>
              </w:rPr>
              <w:t>陈晗</w:t>
            </w:r>
          </w:p>
          <w:p w:rsidR="008A4C99" w:rsidRDefault="008A4C99" w:rsidP="008A4C9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D63A02">
              <w:rPr>
                <w:rFonts w:hint="eastAsia"/>
                <w:bCs/>
                <w:iCs/>
                <w:sz w:val="24"/>
                <w:szCs w:val="24"/>
              </w:rPr>
              <w:t>新思哲投资</w:t>
            </w:r>
            <w:r>
              <w:rPr>
                <w:rFonts w:hint="eastAsia"/>
                <w:bCs/>
                <w:iCs/>
                <w:sz w:val="24"/>
                <w:szCs w:val="24"/>
              </w:rPr>
              <w:t xml:space="preserve">  </w:t>
            </w:r>
            <w:r w:rsidRPr="00D63A02">
              <w:rPr>
                <w:rFonts w:hint="eastAsia"/>
                <w:bCs/>
                <w:iCs/>
                <w:sz w:val="24"/>
                <w:szCs w:val="24"/>
              </w:rPr>
              <w:t>罗洁</w:t>
            </w:r>
          </w:p>
          <w:p w:rsidR="008A4C99" w:rsidRDefault="008A4C99" w:rsidP="008A4C9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8625A9">
              <w:rPr>
                <w:rFonts w:hint="eastAsia"/>
                <w:bCs/>
                <w:iCs/>
                <w:sz w:val="24"/>
                <w:szCs w:val="24"/>
              </w:rPr>
              <w:t>中</w:t>
            </w:r>
            <w:proofErr w:type="gramStart"/>
            <w:r w:rsidRPr="008625A9">
              <w:rPr>
                <w:rFonts w:hint="eastAsia"/>
                <w:bCs/>
                <w:iCs/>
                <w:sz w:val="24"/>
                <w:szCs w:val="24"/>
              </w:rPr>
              <w:t>信资本</w:t>
            </w:r>
            <w:proofErr w:type="gramEnd"/>
            <w:r>
              <w:rPr>
                <w:rFonts w:hint="eastAsia"/>
                <w:bCs/>
                <w:iCs/>
                <w:sz w:val="24"/>
                <w:szCs w:val="24"/>
              </w:rPr>
              <w:t xml:space="preserve">  </w:t>
            </w:r>
            <w:r>
              <w:rPr>
                <w:rFonts w:hint="eastAsia"/>
                <w:bCs/>
                <w:iCs/>
                <w:sz w:val="24"/>
                <w:szCs w:val="24"/>
              </w:rPr>
              <w:t>贺曦</w:t>
            </w:r>
          </w:p>
          <w:p w:rsidR="008A4C99" w:rsidRDefault="008A4C99" w:rsidP="008A4C9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D63A02">
              <w:rPr>
                <w:rFonts w:hint="eastAsia"/>
                <w:bCs/>
                <w:iCs/>
                <w:sz w:val="24"/>
                <w:szCs w:val="24"/>
              </w:rPr>
              <w:t>华商基金</w:t>
            </w:r>
            <w:r>
              <w:rPr>
                <w:rFonts w:hint="eastAsia"/>
                <w:bCs/>
                <w:iCs/>
                <w:sz w:val="24"/>
                <w:szCs w:val="24"/>
              </w:rPr>
              <w:t xml:space="preserve"> </w:t>
            </w:r>
            <w:r>
              <w:rPr>
                <w:bCs/>
                <w:iCs/>
                <w:sz w:val="24"/>
                <w:szCs w:val="24"/>
              </w:rPr>
              <w:t xml:space="preserve"> </w:t>
            </w:r>
            <w:r w:rsidRPr="00D63A02">
              <w:rPr>
                <w:rFonts w:hint="eastAsia"/>
                <w:bCs/>
                <w:iCs/>
                <w:sz w:val="24"/>
                <w:szCs w:val="24"/>
              </w:rPr>
              <w:t>何奇峰</w:t>
            </w:r>
          </w:p>
          <w:p w:rsidR="008A4C99" w:rsidRDefault="008A4C99" w:rsidP="008A4C9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D63A02">
              <w:rPr>
                <w:rFonts w:hint="eastAsia"/>
                <w:bCs/>
                <w:iCs/>
                <w:sz w:val="24"/>
                <w:szCs w:val="24"/>
              </w:rPr>
              <w:t>中信证券</w:t>
            </w:r>
            <w:r>
              <w:rPr>
                <w:rFonts w:hint="eastAsia"/>
                <w:bCs/>
                <w:iCs/>
                <w:sz w:val="24"/>
                <w:szCs w:val="24"/>
              </w:rPr>
              <w:t xml:space="preserve">  </w:t>
            </w:r>
            <w:proofErr w:type="gramStart"/>
            <w:r w:rsidRPr="00D63A02">
              <w:rPr>
                <w:rFonts w:hint="eastAsia"/>
                <w:bCs/>
                <w:iCs/>
                <w:sz w:val="24"/>
                <w:szCs w:val="24"/>
              </w:rPr>
              <w:t>熊承慧</w:t>
            </w:r>
            <w:proofErr w:type="gramEnd"/>
          </w:p>
          <w:p w:rsidR="0093715F" w:rsidRDefault="008A4C99" w:rsidP="008A4C9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8625A9">
              <w:rPr>
                <w:rFonts w:hint="eastAsia"/>
                <w:bCs/>
                <w:iCs/>
                <w:sz w:val="24"/>
                <w:szCs w:val="24"/>
              </w:rPr>
              <w:t>上海</w:t>
            </w:r>
            <w:proofErr w:type="gramStart"/>
            <w:r w:rsidRPr="008625A9">
              <w:rPr>
                <w:rFonts w:hint="eastAsia"/>
                <w:bCs/>
                <w:iCs/>
                <w:sz w:val="24"/>
                <w:szCs w:val="24"/>
              </w:rPr>
              <w:t>祥镒</w:t>
            </w:r>
            <w:proofErr w:type="gramEnd"/>
            <w:r w:rsidRPr="008625A9">
              <w:rPr>
                <w:rFonts w:hint="eastAsia"/>
                <w:bCs/>
                <w:iCs/>
                <w:sz w:val="24"/>
                <w:szCs w:val="24"/>
              </w:rPr>
              <w:t>资产</w:t>
            </w:r>
            <w:r>
              <w:rPr>
                <w:rFonts w:hint="eastAsia"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iCs/>
                <w:sz w:val="24"/>
                <w:szCs w:val="24"/>
              </w:rPr>
              <w:t>郭恒</w:t>
            </w:r>
          </w:p>
        </w:tc>
      </w:tr>
      <w:tr w:rsidR="0093715F">
        <w:tc>
          <w:tcPr>
            <w:tcW w:w="2943" w:type="dxa"/>
          </w:tcPr>
          <w:p w:rsidR="0093715F" w:rsidRDefault="00B603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5815" w:type="dxa"/>
          </w:tcPr>
          <w:p w:rsidR="0093715F" w:rsidRDefault="00B603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2019</w:t>
            </w:r>
            <w:r>
              <w:rPr>
                <w:bCs/>
                <w:iCs/>
                <w:sz w:val="24"/>
                <w:szCs w:val="24"/>
              </w:rPr>
              <w:t>年</w:t>
            </w:r>
            <w:r>
              <w:rPr>
                <w:bCs/>
                <w:iCs/>
                <w:sz w:val="24"/>
                <w:szCs w:val="24"/>
              </w:rPr>
              <w:t>8</w:t>
            </w:r>
            <w:r>
              <w:rPr>
                <w:bCs/>
                <w:iCs/>
                <w:sz w:val="24"/>
                <w:szCs w:val="24"/>
              </w:rPr>
              <w:t>月</w:t>
            </w:r>
            <w:r>
              <w:rPr>
                <w:bCs/>
                <w:iCs/>
                <w:sz w:val="24"/>
                <w:szCs w:val="24"/>
              </w:rPr>
              <w:t>28</w:t>
            </w:r>
            <w:r>
              <w:rPr>
                <w:bCs/>
                <w:iCs/>
                <w:sz w:val="24"/>
                <w:szCs w:val="24"/>
              </w:rPr>
              <w:t>日</w:t>
            </w:r>
          </w:p>
        </w:tc>
      </w:tr>
      <w:tr w:rsidR="0093715F">
        <w:tc>
          <w:tcPr>
            <w:tcW w:w="2943" w:type="dxa"/>
          </w:tcPr>
          <w:p w:rsidR="0093715F" w:rsidRDefault="00B603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5815" w:type="dxa"/>
          </w:tcPr>
          <w:p w:rsidR="0093715F" w:rsidRDefault="00B60306" w:rsidP="00C1298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公司总部会议室</w:t>
            </w:r>
          </w:p>
        </w:tc>
      </w:tr>
      <w:tr w:rsidR="0093715F">
        <w:tc>
          <w:tcPr>
            <w:tcW w:w="2943" w:type="dxa"/>
          </w:tcPr>
          <w:p w:rsidR="0093715F" w:rsidRDefault="00B603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5815" w:type="dxa"/>
          </w:tcPr>
          <w:p w:rsidR="0093715F" w:rsidRDefault="00B603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副董事长曹治年，董事会秘书、副总经理秦军</w:t>
            </w:r>
          </w:p>
        </w:tc>
        <w:bookmarkStart w:id="0" w:name="_GoBack"/>
        <w:bookmarkEnd w:id="0"/>
      </w:tr>
      <w:tr w:rsidR="0093715F">
        <w:trPr>
          <w:trHeight w:val="1125"/>
        </w:trPr>
        <w:tc>
          <w:tcPr>
            <w:tcW w:w="8758" w:type="dxa"/>
            <w:gridSpan w:val="2"/>
          </w:tcPr>
          <w:p w:rsidR="0093715F" w:rsidRDefault="00B60306">
            <w:pPr>
              <w:pStyle w:val="a7"/>
              <w:spacing w:before="0" w:beforeAutospacing="0" w:after="0" w:afterAutospacing="0" w:line="48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iCs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iCs/>
                <w:sz w:val="28"/>
                <w:szCs w:val="28"/>
              </w:rPr>
              <w:t>会谈主要内容</w:t>
            </w:r>
          </w:p>
          <w:p w:rsidR="0093715F" w:rsidRPr="0039402E" w:rsidRDefault="0039402E" w:rsidP="0039402E">
            <w:pPr>
              <w:spacing w:line="360" w:lineRule="auto"/>
              <w:ind w:firstLineChars="200" w:firstLine="482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39402E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1、</w:t>
            </w:r>
            <w:r w:rsidR="00B60306" w:rsidRPr="0039402E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公司目前出栏量</w:t>
            </w:r>
            <w:r w:rsidR="00B35F1D" w:rsidRPr="0039402E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与</w:t>
            </w:r>
            <w:r w:rsidR="00B60306" w:rsidRPr="0039402E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年初</w:t>
            </w:r>
            <w:r w:rsidR="00B35F1D" w:rsidRPr="0039402E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计划出栏</w:t>
            </w:r>
            <w:r w:rsidR="00B60306" w:rsidRPr="0039402E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1</w:t>
            </w:r>
            <w:r w:rsidR="008B73E2" w:rsidRPr="0039402E">
              <w:rPr>
                <w:rFonts w:ascii="宋体" w:hAnsi="宋体"/>
                <w:b/>
                <w:sz w:val="24"/>
                <w:szCs w:val="24"/>
                <w:lang w:val="zh-CN"/>
              </w:rPr>
              <w:t>,</w:t>
            </w:r>
            <w:r w:rsidR="00B60306" w:rsidRPr="0039402E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300万头的目标有一定差距，</w:t>
            </w:r>
            <w:r w:rsidR="00B35F1D" w:rsidRPr="0039402E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是否</w:t>
            </w:r>
            <w:r w:rsidR="00B35F1D" w:rsidRPr="0039402E">
              <w:rPr>
                <w:rFonts w:ascii="宋体" w:hAnsi="宋体"/>
                <w:b/>
                <w:sz w:val="24"/>
                <w:szCs w:val="24"/>
                <w:lang w:val="zh-CN"/>
              </w:rPr>
              <w:t>有</w:t>
            </w:r>
            <w:r w:rsidR="00B35F1D" w:rsidRPr="0039402E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出栏</w:t>
            </w:r>
            <w:r w:rsidR="00B60306" w:rsidRPr="0039402E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压力？</w:t>
            </w:r>
          </w:p>
          <w:p w:rsidR="0039402E" w:rsidRDefault="00E53952" w:rsidP="0039402E">
            <w:pPr>
              <w:spacing w:line="360" w:lineRule="auto"/>
              <w:ind w:firstLineChars="200" w:firstLine="480"/>
              <w:rPr>
                <w:rFonts w:ascii="宋体" w:hAnsi="宋体"/>
                <w:color w:val="FF0000"/>
                <w:sz w:val="24"/>
                <w:szCs w:val="24"/>
                <w:lang w:val="zh-CN"/>
              </w:rPr>
            </w:pPr>
            <w:r w:rsidRPr="00E53952">
              <w:rPr>
                <w:rFonts w:ascii="宋体" w:hAnsi="宋体" w:hint="eastAsia"/>
                <w:sz w:val="24"/>
                <w:szCs w:val="24"/>
                <w:lang w:val="zh-CN"/>
              </w:rPr>
              <w:t>公司2019年计划出栏生猪1,300万头至1,500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万头</w:t>
            </w:r>
            <w:r w:rsidR="00B60306"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 w:rsidR="00F11F30">
              <w:rPr>
                <w:rFonts w:ascii="宋体" w:hAnsi="宋体" w:hint="eastAsia"/>
                <w:sz w:val="24"/>
                <w:szCs w:val="24"/>
                <w:lang w:val="zh-CN"/>
              </w:rPr>
              <w:t>对公司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年初的</w:t>
            </w:r>
            <w:r w:rsidR="002C1B07">
              <w:rPr>
                <w:rFonts w:ascii="宋体" w:hAnsi="宋体" w:hint="eastAsia"/>
                <w:sz w:val="24"/>
                <w:szCs w:val="24"/>
                <w:lang w:val="zh-CN"/>
              </w:rPr>
              <w:t>出栏</w:t>
            </w:r>
            <w:r w:rsidR="00F11F30">
              <w:rPr>
                <w:rFonts w:ascii="宋体" w:hAnsi="宋体" w:hint="eastAsia"/>
                <w:sz w:val="24"/>
                <w:szCs w:val="24"/>
                <w:lang w:val="zh-CN"/>
              </w:rPr>
              <w:t>计划正在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努力</w:t>
            </w:r>
            <w:r w:rsidR="00F11F30">
              <w:rPr>
                <w:rFonts w:ascii="宋体" w:hAnsi="宋体" w:hint="eastAsia"/>
                <w:sz w:val="24"/>
                <w:szCs w:val="24"/>
                <w:lang w:val="zh-CN"/>
              </w:rPr>
              <w:t>达成</w:t>
            </w:r>
            <w:r w:rsidR="008201AE" w:rsidRPr="0039402E">
              <w:rPr>
                <w:rFonts w:ascii="宋体" w:hAnsi="宋体" w:hint="eastAsia"/>
                <w:sz w:val="24"/>
                <w:szCs w:val="24"/>
                <w:lang w:val="zh-CN"/>
              </w:rPr>
              <w:t>。</w:t>
            </w:r>
            <w:r w:rsidR="00122AE3">
              <w:rPr>
                <w:rFonts w:ascii="宋体" w:hAnsi="宋体" w:hint="eastAsia"/>
                <w:sz w:val="24"/>
                <w:szCs w:val="24"/>
                <w:lang w:val="zh-CN"/>
              </w:rPr>
              <w:t>如</w:t>
            </w:r>
            <w:r w:rsidR="00B60306" w:rsidRPr="0039402E">
              <w:rPr>
                <w:rFonts w:ascii="宋体" w:hAnsi="宋体" w:hint="eastAsia"/>
                <w:sz w:val="24"/>
                <w:szCs w:val="24"/>
                <w:lang w:val="zh-CN"/>
              </w:rPr>
              <w:t>有足够的迹象表明无法达到，会</w:t>
            </w:r>
            <w:r w:rsidR="008201AE" w:rsidRPr="0039402E">
              <w:rPr>
                <w:rFonts w:ascii="宋体" w:hAnsi="宋体" w:hint="eastAsia"/>
                <w:sz w:val="24"/>
                <w:szCs w:val="24"/>
                <w:lang w:val="zh-CN"/>
              </w:rPr>
              <w:t>及时</w:t>
            </w:r>
            <w:r w:rsidR="00B60306" w:rsidRPr="0039402E">
              <w:rPr>
                <w:rFonts w:ascii="宋体" w:hAnsi="宋体" w:hint="eastAsia"/>
                <w:sz w:val="24"/>
                <w:szCs w:val="24"/>
                <w:lang w:val="zh-CN"/>
              </w:rPr>
              <w:t>履行相关程序</w:t>
            </w:r>
            <w:r w:rsidR="008201AE" w:rsidRPr="0039402E">
              <w:rPr>
                <w:rFonts w:ascii="宋体" w:hAnsi="宋体" w:hint="eastAsia"/>
                <w:sz w:val="24"/>
                <w:szCs w:val="24"/>
                <w:lang w:val="zh-CN"/>
              </w:rPr>
              <w:t>。</w:t>
            </w:r>
          </w:p>
          <w:p w:rsidR="0093715F" w:rsidRDefault="0039402E" w:rsidP="0039402E">
            <w:pPr>
              <w:spacing w:line="360" w:lineRule="auto"/>
              <w:ind w:firstLineChars="200" w:firstLine="482"/>
              <w:rPr>
                <w:rFonts w:ascii="宋体" w:hAnsi="宋体"/>
                <w:b/>
                <w:bCs/>
                <w:sz w:val="24"/>
                <w:szCs w:val="24"/>
                <w:lang w:val="zh-CN"/>
              </w:rPr>
            </w:pPr>
            <w:r w:rsidRPr="0039402E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2、</w:t>
            </w:r>
            <w:r w:rsidR="00E8574C" w:rsidRPr="0039402E">
              <w:rPr>
                <w:rFonts w:ascii="宋体" w:hAnsi="宋体" w:hint="eastAsia"/>
                <w:b/>
                <w:bCs/>
                <w:sz w:val="24"/>
                <w:szCs w:val="24"/>
                <w:lang w:val="zh-CN"/>
              </w:rPr>
              <w:t>公</w:t>
            </w:r>
            <w:r w:rsidR="00E8574C">
              <w:rPr>
                <w:rFonts w:ascii="宋体" w:hAnsi="宋体" w:hint="eastAsia"/>
                <w:b/>
                <w:bCs/>
                <w:sz w:val="24"/>
                <w:szCs w:val="24"/>
                <w:lang w:val="zh-CN"/>
              </w:rPr>
              <w:t>司半年度报告</w:t>
            </w:r>
            <w:r w:rsidR="00E8574C">
              <w:rPr>
                <w:rFonts w:ascii="宋体" w:hAnsi="宋体"/>
                <w:b/>
                <w:bCs/>
                <w:sz w:val="24"/>
                <w:szCs w:val="24"/>
                <w:lang w:val="zh-CN"/>
              </w:rPr>
              <w:t>中</w:t>
            </w:r>
            <w:r w:rsidR="00B60306">
              <w:rPr>
                <w:rFonts w:ascii="宋体" w:hAnsi="宋体" w:hint="eastAsia"/>
                <w:b/>
                <w:bCs/>
                <w:sz w:val="24"/>
                <w:szCs w:val="24"/>
                <w:lang w:val="zh-CN"/>
              </w:rPr>
              <w:t>披露生猪养殖场主要分布在河南、湖北、山东</w:t>
            </w:r>
            <w:r w:rsidR="004661F2">
              <w:rPr>
                <w:rFonts w:ascii="宋体" w:hAnsi="宋体" w:hint="eastAsia"/>
                <w:b/>
                <w:bCs/>
                <w:sz w:val="24"/>
                <w:szCs w:val="24"/>
                <w:lang w:val="zh-CN"/>
              </w:rPr>
              <w:t>等地区</w:t>
            </w:r>
            <w:r w:rsidR="00B60306">
              <w:rPr>
                <w:rFonts w:ascii="宋体" w:hAnsi="宋体" w:hint="eastAsia"/>
                <w:b/>
                <w:bCs/>
                <w:sz w:val="24"/>
                <w:szCs w:val="24"/>
                <w:lang w:val="zh-CN"/>
              </w:rPr>
              <w:t>，</w:t>
            </w:r>
            <w:r w:rsidR="004661F2">
              <w:rPr>
                <w:rFonts w:ascii="宋体" w:hAnsi="宋体" w:hint="eastAsia"/>
                <w:b/>
                <w:bCs/>
                <w:sz w:val="24"/>
                <w:szCs w:val="24"/>
                <w:lang w:val="zh-CN"/>
              </w:rPr>
              <w:t>这些地区</w:t>
            </w:r>
            <w:r w:rsidR="004661F2">
              <w:rPr>
                <w:rFonts w:ascii="宋体" w:hAnsi="宋体"/>
                <w:b/>
                <w:bCs/>
                <w:sz w:val="24"/>
                <w:szCs w:val="24"/>
                <w:lang w:val="zh-CN"/>
              </w:rPr>
              <w:t>占公司出栏比重</w:t>
            </w:r>
            <w:r w:rsidR="004661F2">
              <w:rPr>
                <w:rFonts w:ascii="宋体" w:hAnsi="宋体" w:hint="eastAsia"/>
                <w:b/>
                <w:bCs/>
                <w:sz w:val="24"/>
                <w:szCs w:val="24"/>
                <w:lang w:val="zh-CN"/>
              </w:rPr>
              <w:t>情况</w:t>
            </w:r>
            <w:r w:rsidR="00B60306">
              <w:rPr>
                <w:rFonts w:ascii="宋体" w:hAnsi="宋体" w:hint="eastAsia"/>
                <w:b/>
                <w:bCs/>
                <w:sz w:val="24"/>
                <w:szCs w:val="24"/>
                <w:lang w:val="zh-CN"/>
              </w:rPr>
              <w:t>？</w:t>
            </w:r>
          </w:p>
          <w:p w:rsidR="0093715F" w:rsidRDefault="004661F2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bCs/>
                <w:sz w:val="24"/>
                <w:szCs w:val="24"/>
                <w:lang w:val="zh-CN"/>
              </w:rPr>
              <w:lastRenderedPageBreak/>
              <w:t>区域分布上</w:t>
            </w:r>
            <w:r>
              <w:rPr>
                <w:rFonts w:ascii="宋体" w:hAnsi="宋体"/>
                <w:bCs/>
                <w:sz w:val="24"/>
                <w:szCs w:val="24"/>
                <w:lang w:val="zh-CN"/>
              </w:rPr>
              <w:t>，</w:t>
            </w:r>
            <w:r w:rsidR="00B60306">
              <w:rPr>
                <w:rFonts w:ascii="宋体" w:hAnsi="宋体" w:hint="eastAsia"/>
                <w:bCs/>
                <w:sz w:val="24"/>
                <w:szCs w:val="24"/>
                <w:lang w:val="zh-CN"/>
              </w:rPr>
              <w:t>河南、山东、湖北、内蒙古</w:t>
            </w:r>
            <w:r>
              <w:rPr>
                <w:rFonts w:ascii="宋体" w:hAnsi="宋体" w:hint="eastAsia"/>
                <w:bCs/>
                <w:sz w:val="24"/>
                <w:szCs w:val="24"/>
                <w:lang w:val="zh-CN"/>
              </w:rPr>
              <w:t>和</w:t>
            </w:r>
            <w:r w:rsidR="00B60306">
              <w:rPr>
                <w:rFonts w:ascii="宋体" w:hAnsi="宋体" w:hint="eastAsia"/>
                <w:bCs/>
                <w:sz w:val="24"/>
                <w:szCs w:val="24"/>
                <w:lang w:val="zh-CN"/>
              </w:rPr>
              <w:t>山西</w:t>
            </w:r>
            <w:r>
              <w:rPr>
                <w:rFonts w:ascii="宋体" w:hAnsi="宋体" w:hint="eastAsia"/>
                <w:bCs/>
                <w:sz w:val="24"/>
                <w:szCs w:val="24"/>
                <w:lang w:val="zh-CN"/>
              </w:rPr>
              <w:t>这五个地区合计</w:t>
            </w:r>
            <w:r w:rsidR="00B60306">
              <w:rPr>
                <w:rFonts w:ascii="宋体" w:hAnsi="宋体" w:hint="eastAsia"/>
                <w:bCs/>
                <w:sz w:val="24"/>
                <w:szCs w:val="24"/>
                <w:lang w:val="zh-CN"/>
              </w:rPr>
              <w:t>占公司出栏量的90%</w:t>
            </w:r>
            <w:r w:rsidR="00A14ED5">
              <w:rPr>
                <w:rFonts w:ascii="宋体" w:hAnsi="宋体" w:hint="eastAsia"/>
                <w:bCs/>
                <w:sz w:val="24"/>
                <w:szCs w:val="24"/>
                <w:lang w:val="zh-CN"/>
              </w:rPr>
              <w:t>左右</w:t>
            </w:r>
            <w:r w:rsidR="00B60306">
              <w:rPr>
                <w:rFonts w:ascii="宋体" w:hAnsi="宋体" w:hint="eastAsia"/>
                <w:bCs/>
                <w:sz w:val="24"/>
                <w:szCs w:val="24"/>
                <w:lang w:val="zh-CN"/>
              </w:rPr>
              <w:t>，其中河南占到公司出栏量的</w:t>
            </w:r>
            <w:r>
              <w:rPr>
                <w:rFonts w:ascii="宋体" w:hAnsi="宋体" w:hint="eastAsia"/>
                <w:bCs/>
                <w:sz w:val="24"/>
                <w:szCs w:val="24"/>
                <w:lang w:val="zh-CN"/>
              </w:rPr>
              <w:t>近</w:t>
            </w:r>
            <w:r w:rsidR="00B60306">
              <w:rPr>
                <w:rFonts w:ascii="宋体" w:hAnsi="宋体" w:hint="eastAsia"/>
                <w:bCs/>
                <w:sz w:val="24"/>
                <w:szCs w:val="24"/>
                <w:lang w:val="zh-CN"/>
              </w:rPr>
              <w:t>60%。</w:t>
            </w:r>
          </w:p>
          <w:p w:rsidR="0093715F" w:rsidRPr="0039402E" w:rsidRDefault="0039402E" w:rsidP="0039402E">
            <w:pPr>
              <w:spacing w:line="360" w:lineRule="auto"/>
              <w:ind w:firstLineChars="200" w:firstLine="482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39402E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3、</w:t>
            </w:r>
            <w:r w:rsidR="00B60306" w:rsidRPr="0039402E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据说现在河南开始非</w:t>
            </w:r>
            <w:proofErr w:type="gramStart"/>
            <w:r w:rsidR="00B60306" w:rsidRPr="0039402E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瘟</w:t>
            </w:r>
            <w:proofErr w:type="gramEnd"/>
            <w:r w:rsidR="00B60306" w:rsidRPr="0039402E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第二波，公司经营</w:t>
            </w:r>
            <w:r w:rsidR="00E04C99" w:rsidRPr="0039402E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是否会受到</w:t>
            </w:r>
            <w:r w:rsidR="00B60306" w:rsidRPr="0039402E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影响？</w:t>
            </w:r>
          </w:p>
          <w:p w:rsidR="0093715F" w:rsidRDefault="00B60306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从去年四季度以来，</w:t>
            </w:r>
            <w:r w:rsidR="00E04C99">
              <w:rPr>
                <w:rFonts w:ascii="宋体" w:hAnsi="宋体" w:hint="eastAsia"/>
                <w:sz w:val="24"/>
                <w:szCs w:val="24"/>
                <w:lang w:val="zh-CN"/>
              </w:rPr>
              <w:t>公司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在硬件改造投入和人员管理上做了一些有效措施，在控制非</w:t>
            </w:r>
            <w:proofErr w:type="gramStart"/>
            <w:r>
              <w:rPr>
                <w:rFonts w:ascii="宋体" w:hAnsi="宋体" w:hint="eastAsia"/>
                <w:sz w:val="24"/>
                <w:szCs w:val="24"/>
                <w:lang w:val="zh-CN"/>
              </w:rPr>
              <w:t>瘟</w:t>
            </w:r>
            <w:proofErr w:type="gramEnd"/>
            <w:r>
              <w:rPr>
                <w:rFonts w:ascii="宋体" w:hAnsi="宋体" w:hint="eastAsia"/>
                <w:sz w:val="24"/>
                <w:szCs w:val="24"/>
                <w:lang w:val="zh-CN"/>
              </w:rPr>
              <w:t>上是非常有效的，董事长上月在中央电视台</w:t>
            </w:r>
            <w:r w:rsidR="0003651F">
              <w:rPr>
                <w:rFonts w:ascii="宋体" w:hAnsi="宋体" w:hint="eastAsia"/>
                <w:sz w:val="24"/>
                <w:szCs w:val="24"/>
                <w:lang w:val="zh-CN"/>
              </w:rPr>
              <w:t>《对话》栏目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说到</w:t>
            </w:r>
            <w:r w:rsidR="00E04C99">
              <w:rPr>
                <w:rFonts w:ascii="宋体" w:hAnsi="宋体" w:hint="eastAsia"/>
                <w:sz w:val="24"/>
                <w:szCs w:val="24"/>
                <w:lang w:val="zh-CN"/>
              </w:rPr>
              <w:t>此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问题，针对非瘟疫情，</w:t>
            </w:r>
            <w:proofErr w:type="gramStart"/>
            <w:r>
              <w:rPr>
                <w:rFonts w:ascii="宋体" w:hAnsi="宋体" w:hint="eastAsia"/>
                <w:sz w:val="24"/>
                <w:szCs w:val="24"/>
                <w:lang w:val="zh-CN"/>
              </w:rPr>
              <w:t>牧原打</w:t>
            </w:r>
            <w:proofErr w:type="gramEnd"/>
            <w:r>
              <w:rPr>
                <w:rFonts w:ascii="宋体" w:hAnsi="宋体" w:hint="eastAsia"/>
                <w:sz w:val="24"/>
                <w:szCs w:val="24"/>
                <w:lang w:val="zh-CN"/>
              </w:rPr>
              <w:t>了一场大仗，现在已经跑赢了非洲猪瘟。</w:t>
            </w:r>
          </w:p>
          <w:p w:rsidR="0093715F" w:rsidRDefault="00FA712D">
            <w:pPr>
              <w:spacing w:line="360" w:lineRule="auto"/>
              <w:ind w:firstLineChars="200" w:firstLine="482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4</w:t>
            </w:r>
            <w:r w:rsidR="00BD36C1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</w:t>
            </w:r>
            <w:r w:rsidR="00B60306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近期新建的养猪场摊销到</w:t>
            </w:r>
            <w:proofErr w:type="gramStart"/>
            <w:r w:rsidR="00B60306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每头猪上的</w:t>
            </w:r>
            <w:proofErr w:type="gramEnd"/>
            <w:r w:rsidR="00B60306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成本投入大概是多少？</w:t>
            </w:r>
          </w:p>
          <w:p w:rsidR="00BD36C1" w:rsidRDefault="00BD36C1" w:rsidP="00BD36C1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针对</w:t>
            </w:r>
            <w:r w:rsidR="00B60306">
              <w:rPr>
                <w:rFonts w:ascii="宋体" w:hAnsi="宋体" w:hint="eastAsia"/>
                <w:sz w:val="24"/>
                <w:szCs w:val="24"/>
                <w:lang w:val="zh-CN"/>
              </w:rPr>
              <w:t>非洲猪瘟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疫情</w:t>
            </w:r>
            <w:r w:rsidR="00B60306"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公司对</w:t>
            </w:r>
            <w:r w:rsidR="00B60306">
              <w:rPr>
                <w:rFonts w:ascii="宋体" w:hAnsi="宋体" w:hint="eastAsia"/>
                <w:sz w:val="24"/>
                <w:szCs w:val="24"/>
                <w:lang w:val="zh-CN"/>
              </w:rPr>
              <w:t>猪舍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内部采用</w:t>
            </w:r>
            <w:r w:rsidR="00B60306">
              <w:rPr>
                <w:rFonts w:ascii="宋体" w:hAnsi="宋体" w:hint="eastAsia"/>
                <w:sz w:val="24"/>
                <w:szCs w:val="24"/>
                <w:lang w:val="zh-CN"/>
              </w:rPr>
              <w:t>新风空气过滤系统、饲料输送管链系统以及高温加热消毒系统等，固定资产投资额</w:t>
            </w:r>
            <w:r w:rsidR="00FA712D">
              <w:rPr>
                <w:rFonts w:ascii="宋体" w:hAnsi="宋体" w:hint="eastAsia"/>
                <w:sz w:val="24"/>
                <w:szCs w:val="24"/>
                <w:lang w:val="zh-CN"/>
              </w:rPr>
              <w:t>略有</w:t>
            </w:r>
            <w:r w:rsidR="00FA712D">
              <w:rPr>
                <w:rFonts w:ascii="宋体" w:hAnsi="宋体"/>
                <w:sz w:val="24"/>
                <w:szCs w:val="24"/>
                <w:lang w:val="zh-CN"/>
              </w:rPr>
              <w:t>增长</w:t>
            </w:r>
            <w:r w:rsidR="00B60306">
              <w:rPr>
                <w:rFonts w:ascii="宋体" w:hAnsi="宋体" w:hint="eastAsia"/>
                <w:sz w:val="24"/>
                <w:szCs w:val="24"/>
                <w:lang w:val="zh-CN"/>
              </w:rPr>
              <w:t>，但</w:t>
            </w:r>
            <w:r w:rsidRPr="00BD36C1">
              <w:rPr>
                <w:rFonts w:ascii="宋体" w:hAnsi="宋体" w:hint="eastAsia"/>
                <w:sz w:val="24"/>
                <w:szCs w:val="24"/>
                <w:lang w:val="zh-CN"/>
              </w:rPr>
              <w:t>生产上会对猪舍的管理和流转效率做优化，目前测算下来，整体养殖成本变化不大。</w:t>
            </w:r>
          </w:p>
          <w:p w:rsidR="0093715F" w:rsidRDefault="00FA712D" w:rsidP="00441AF0">
            <w:pPr>
              <w:spacing w:line="360" w:lineRule="auto"/>
              <w:ind w:firstLineChars="200" w:firstLine="482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5</w:t>
            </w:r>
            <w:r w:rsidR="00D600D9" w:rsidRPr="00441AF0">
              <w:rPr>
                <w:rFonts w:ascii="宋体" w:hAnsi="宋体"/>
                <w:b/>
                <w:sz w:val="24"/>
                <w:szCs w:val="24"/>
                <w:lang w:val="zh-CN"/>
              </w:rPr>
              <w:t>、</w:t>
            </w:r>
            <w:r w:rsidR="00B60306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公司未来</w:t>
            </w:r>
            <w:r w:rsidR="00D600D9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是否</w:t>
            </w:r>
            <w:r w:rsidR="00D600D9">
              <w:rPr>
                <w:rFonts w:ascii="宋体" w:hAnsi="宋体"/>
                <w:b/>
                <w:sz w:val="24"/>
                <w:szCs w:val="24"/>
                <w:lang w:val="zh-CN"/>
              </w:rPr>
              <w:t>会</w:t>
            </w:r>
            <w:r w:rsidR="00B60306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加大仔猪销售比例？</w:t>
            </w:r>
          </w:p>
          <w:p w:rsidR="0093715F" w:rsidRDefault="00B60306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仔猪销售策略取决于</w:t>
            </w:r>
            <w:r w:rsidR="00097DED">
              <w:rPr>
                <w:rFonts w:ascii="宋体" w:hAnsi="宋体" w:hint="eastAsia"/>
                <w:sz w:val="24"/>
                <w:szCs w:val="24"/>
                <w:lang w:val="zh-CN"/>
              </w:rPr>
              <w:t>目前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仔猪利润与未来</w:t>
            </w:r>
            <w:r w:rsidR="00097DED">
              <w:rPr>
                <w:rFonts w:ascii="宋体" w:hAnsi="宋体" w:hint="eastAsia"/>
                <w:sz w:val="24"/>
                <w:szCs w:val="24"/>
                <w:lang w:val="zh-CN"/>
              </w:rPr>
              <w:t>出栏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商品</w:t>
            </w:r>
            <w:proofErr w:type="gramStart"/>
            <w:r>
              <w:rPr>
                <w:rFonts w:ascii="宋体" w:hAnsi="宋体" w:hint="eastAsia"/>
                <w:sz w:val="24"/>
                <w:szCs w:val="24"/>
                <w:lang w:val="zh-CN"/>
              </w:rPr>
              <w:t>猪利润</w:t>
            </w:r>
            <w:proofErr w:type="gramEnd"/>
            <w:r>
              <w:rPr>
                <w:rFonts w:ascii="宋体" w:hAnsi="宋体" w:hint="eastAsia"/>
                <w:sz w:val="24"/>
                <w:szCs w:val="24"/>
                <w:lang w:val="zh-CN"/>
              </w:rPr>
              <w:t>的参考</w:t>
            </w:r>
            <w:r w:rsidR="00097DED">
              <w:rPr>
                <w:rFonts w:ascii="宋体" w:hAnsi="宋体" w:hint="eastAsia"/>
                <w:sz w:val="24"/>
                <w:szCs w:val="24"/>
                <w:lang w:val="zh-CN"/>
              </w:rPr>
              <w:t>比较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 w:rsidR="00097DED">
              <w:rPr>
                <w:rFonts w:ascii="宋体" w:hAnsi="宋体" w:hint="eastAsia"/>
                <w:sz w:val="24"/>
                <w:szCs w:val="24"/>
                <w:lang w:val="zh-CN"/>
              </w:rPr>
              <w:t>综合</w:t>
            </w:r>
            <w:proofErr w:type="gramStart"/>
            <w:r w:rsidR="00097DED">
              <w:rPr>
                <w:rFonts w:ascii="宋体" w:hAnsi="宋体"/>
                <w:sz w:val="24"/>
                <w:szCs w:val="24"/>
                <w:lang w:val="zh-CN"/>
              </w:rPr>
              <w:t>考量</w:t>
            </w:r>
            <w:proofErr w:type="gramEnd"/>
            <w:r w:rsidR="00097DED">
              <w:rPr>
                <w:rFonts w:ascii="宋体" w:hAnsi="宋体" w:hint="eastAsia"/>
                <w:sz w:val="24"/>
                <w:szCs w:val="24"/>
                <w:lang w:val="zh-CN"/>
              </w:rPr>
              <w:t>市场上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客户</w:t>
            </w:r>
            <w:r w:rsidR="00097DED">
              <w:rPr>
                <w:rFonts w:ascii="宋体" w:hAnsi="宋体" w:hint="eastAsia"/>
                <w:sz w:val="24"/>
                <w:szCs w:val="24"/>
                <w:lang w:val="zh-CN"/>
              </w:rPr>
              <w:t>对仔猪需求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的持续性与稳定性，是一个动态考虑的过程。</w:t>
            </w:r>
          </w:p>
          <w:p w:rsidR="0093715F" w:rsidRPr="00441AF0" w:rsidRDefault="00FA712D" w:rsidP="00441AF0">
            <w:pPr>
              <w:spacing w:line="360" w:lineRule="auto"/>
              <w:ind w:firstLineChars="200" w:firstLine="482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6</w:t>
            </w:r>
            <w:r w:rsidR="007E3957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</w:t>
            </w:r>
            <w:r w:rsidR="00B60306" w:rsidRPr="00441AF0">
              <w:rPr>
                <w:rFonts w:ascii="宋体" w:hAnsi="宋体"/>
                <w:b/>
                <w:sz w:val="24"/>
                <w:szCs w:val="24"/>
                <w:lang w:val="zh-CN"/>
              </w:rPr>
              <w:t>这一轮非洲猪瘟过后，公司在整体战略方向和经营理念上有哪些新的变化？</w:t>
            </w:r>
          </w:p>
          <w:p w:rsidR="0093715F" w:rsidRDefault="00C06BC3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根据</w:t>
            </w:r>
            <w:r w:rsidR="00E53952" w:rsidRPr="00E53952">
              <w:rPr>
                <w:rFonts w:ascii="宋体" w:hAnsi="宋体" w:hint="eastAsia"/>
                <w:sz w:val="24"/>
                <w:szCs w:val="24"/>
              </w:rPr>
              <w:t>农业农村</w:t>
            </w:r>
            <w:proofErr w:type="gramStart"/>
            <w:r w:rsidR="00E53952" w:rsidRPr="00E53952">
              <w:rPr>
                <w:rFonts w:ascii="宋体" w:hAnsi="宋体" w:hint="eastAsia"/>
                <w:sz w:val="24"/>
                <w:szCs w:val="24"/>
              </w:rPr>
              <w:t>部数据</w:t>
            </w:r>
            <w:proofErr w:type="gramEnd"/>
            <w:r w:rsidR="00E53952" w:rsidRPr="00E53952">
              <w:rPr>
                <w:rFonts w:ascii="宋体" w:hAnsi="宋体" w:hint="eastAsia"/>
                <w:sz w:val="24"/>
                <w:szCs w:val="24"/>
              </w:rPr>
              <w:t>显示，2019年7月</w:t>
            </w:r>
            <w:proofErr w:type="gramStart"/>
            <w:r w:rsidR="00E53952" w:rsidRPr="00E53952">
              <w:rPr>
                <w:rFonts w:ascii="宋体" w:hAnsi="宋体" w:hint="eastAsia"/>
                <w:sz w:val="24"/>
                <w:szCs w:val="24"/>
              </w:rPr>
              <w:t>全国能繁母猪</w:t>
            </w:r>
            <w:proofErr w:type="gramEnd"/>
            <w:r w:rsidR="00E53952" w:rsidRPr="00E53952">
              <w:rPr>
                <w:rFonts w:ascii="宋体" w:hAnsi="宋体" w:hint="eastAsia"/>
                <w:sz w:val="24"/>
                <w:szCs w:val="24"/>
              </w:rPr>
              <w:t>存栏同比下降31.9%</w:t>
            </w:r>
            <w:r w:rsidR="00B60306">
              <w:rPr>
                <w:rFonts w:ascii="宋体" w:hAnsi="宋体"/>
                <w:sz w:val="24"/>
                <w:szCs w:val="24"/>
              </w:rPr>
              <w:t>，对于规模化大型养殖企业是一个</w:t>
            </w:r>
            <w:r w:rsidR="0055193D">
              <w:rPr>
                <w:rFonts w:ascii="宋体" w:hAnsi="宋体" w:hint="eastAsia"/>
                <w:sz w:val="24"/>
                <w:szCs w:val="24"/>
              </w:rPr>
              <w:t>很</w:t>
            </w:r>
            <w:r w:rsidR="00E763BD">
              <w:rPr>
                <w:rFonts w:ascii="宋体" w:hAnsi="宋体"/>
                <w:sz w:val="24"/>
                <w:szCs w:val="24"/>
              </w:rPr>
              <w:t>好的发展机遇，</w:t>
            </w:r>
            <w:r w:rsidR="00E763BD">
              <w:rPr>
                <w:rFonts w:ascii="宋体" w:hAnsi="宋体" w:hint="eastAsia"/>
                <w:sz w:val="24"/>
                <w:szCs w:val="24"/>
              </w:rPr>
              <w:t>公司</w:t>
            </w:r>
            <w:r w:rsidR="00B60306">
              <w:rPr>
                <w:rFonts w:ascii="宋体" w:hAnsi="宋体"/>
                <w:sz w:val="24"/>
                <w:szCs w:val="24"/>
              </w:rPr>
              <w:t>看到了这一点并积极应对与准备，未来几年公司的主要精力还是会放在扩大规模化生猪养殖方面。</w:t>
            </w:r>
          </w:p>
          <w:p w:rsidR="0093715F" w:rsidRPr="00441AF0" w:rsidRDefault="00FA712D" w:rsidP="00441AF0">
            <w:pPr>
              <w:spacing w:line="360" w:lineRule="auto"/>
              <w:ind w:firstLineChars="200" w:firstLine="482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7</w:t>
            </w:r>
            <w:r w:rsidR="007E3957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</w:t>
            </w:r>
            <w:r w:rsidR="00B60306" w:rsidRPr="00441AF0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非</w:t>
            </w:r>
            <w:proofErr w:type="gramStart"/>
            <w:r w:rsidR="00B60306" w:rsidRPr="00441AF0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瘟</w:t>
            </w:r>
            <w:proofErr w:type="gramEnd"/>
            <w:r w:rsidR="00B60306" w:rsidRPr="00441AF0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期间，生猪养殖企业在一线生产员工管理上都遇到了一些困难，牧原在这方面有什么心得？</w:t>
            </w:r>
          </w:p>
          <w:p w:rsidR="0093715F" w:rsidRDefault="00B60306" w:rsidP="00E763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非</w:t>
            </w:r>
            <w:proofErr w:type="gramStart"/>
            <w:r>
              <w:rPr>
                <w:rFonts w:ascii="宋体" w:hAnsi="宋体"/>
                <w:sz w:val="24"/>
                <w:szCs w:val="24"/>
              </w:rPr>
              <w:t>瘟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期间，</w:t>
            </w:r>
            <w:r w:rsidR="0055193D">
              <w:rPr>
                <w:rFonts w:ascii="宋体" w:hAnsi="宋体" w:hint="eastAsia"/>
                <w:sz w:val="24"/>
                <w:szCs w:val="24"/>
              </w:rPr>
              <w:t>公司</w:t>
            </w:r>
            <w:r w:rsidR="00E763BD">
              <w:rPr>
                <w:rFonts w:ascii="宋体" w:hAnsi="宋体"/>
                <w:sz w:val="24"/>
                <w:szCs w:val="24"/>
              </w:rPr>
              <w:t>首先加强了对员工的严格管理，并在经济上提供了</w:t>
            </w:r>
            <w:r>
              <w:rPr>
                <w:rFonts w:ascii="宋体" w:hAnsi="宋体"/>
                <w:sz w:val="24"/>
                <w:szCs w:val="24"/>
              </w:rPr>
              <w:t>较高的激励。</w:t>
            </w:r>
            <w:r w:rsidR="0003651F" w:rsidRPr="0003651F">
              <w:rPr>
                <w:rFonts w:ascii="宋体" w:hAnsi="宋体" w:hint="eastAsia"/>
                <w:sz w:val="24"/>
                <w:szCs w:val="24"/>
              </w:rPr>
              <w:t>对于一线员工的招聘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 w:rsidR="00FA712D">
              <w:rPr>
                <w:rFonts w:ascii="宋体" w:hAnsi="宋体" w:hint="eastAsia"/>
                <w:sz w:val="24"/>
                <w:szCs w:val="24"/>
              </w:rPr>
              <w:t>优先</w:t>
            </w:r>
            <w:r w:rsidR="00FA712D">
              <w:rPr>
                <w:rFonts w:ascii="宋体" w:hAnsi="宋体"/>
                <w:sz w:val="24"/>
                <w:szCs w:val="24"/>
              </w:rPr>
              <w:t>考虑子公司</w:t>
            </w:r>
            <w:r w:rsidR="00FA712D">
              <w:rPr>
                <w:rFonts w:ascii="宋体" w:hAnsi="宋体" w:hint="eastAsia"/>
                <w:sz w:val="24"/>
                <w:szCs w:val="24"/>
              </w:rPr>
              <w:t>当地</w:t>
            </w:r>
            <w:r w:rsidR="00FA712D">
              <w:rPr>
                <w:rFonts w:ascii="宋体" w:hAnsi="宋体"/>
                <w:sz w:val="24"/>
                <w:szCs w:val="24"/>
              </w:rPr>
              <w:t>人员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 w:rsidR="0003651F">
              <w:rPr>
                <w:rFonts w:ascii="宋体" w:hAnsi="宋体" w:hint="eastAsia"/>
                <w:sz w:val="24"/>
                <w:szCs w:val="24"/>
              </w:rPr>
              <w:t>养殖</w:t>
            </w:r>
            <w:r w:rsidR="0003651F">
              <w:rPr>
                <w:rFonts w:ascii="宋体" w:hAnsi="宋体"/>
                <w:sz w:val="24"/>
                <w:szCs w:val="24"/>
              </w:rPr>
              <w:t>场</w:t>
            </w:r>
            <w:r>
              <w:rPr>
                <w:rFonts w:ascii="宋体" w:hAnsi="宋体"/>
                <w:sz w:val="24"/>
                <w:szCs w:val="24"/>
              </w:rPr>
              <w:t>内建立员工生活区、隔离区，减少</w:t>
            </w:r>
            <w:r w:rsidR="0055193D">
              <w:rPr>
                <w:rFonts w:ascii="宋体" w:hAnsi="宋体" w:hint="eastAsia"/>
                <w:sz w:val="24"/>
                <w:szCs w:val="24"/>
              </w:rPr>
              <w:t>不</w:t>
            </w:r>
            <w:r>
              <w:rPr>
                <w:rFonts w:ascii="宋体" w:hAnsi="宋体"/>
                <w:sz w:val="24"/>
                <w:szCs w:val="24"/>
              </w:rPr>
              <w:t>必要的进出场区次数，避免人车物的直接接触。</w:t>
            </w:r>
          </w:p>
        </w:tc>
      </w:tr>
      <w:tr w:rsidR="0093715F">
        <w:tc>
          <w:tcPr>
            <w:tcW w:w="2943" w:type="dxa"/>
            <w:vAlign w:val="center"/>
          </w:tcPr>
          <w:p w:rsidR="0093715F" w:rsidRDefault="00B603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5815" w:type="dxa"/>
          </w:tcPr>
          <w:p w:rsidR="0093715F" w:rsidRDefault="0093715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 w:rsidR="0093715F">
        <w:tc>
          <w:tcPr>
            <w:tcW w:w="2943" w:type="dxa"/>
            <w:vAlign w:val="center"/>
          </w:tcPr>
          <w:p w:rsidR="0093715F" w:rsidRDefault="00B603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5815" w:type="dxa"/>
          </w:tcPr>
          <w:p w:rsidR="0093715F" w:rsidRDefault="00B603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2019</w:t>
            </w:r>
            <w:r>
              <w:rPr>
                <w:bCs/>
                <w:iCs/>
                <w:sz w:val="24"/>
                <w:szCs w:val="24"/>
              </w:rPr>
              <w:t>年</w:t>
            </w:r>
            <w:r>
              <w:rPr>
                <w:bCs/>
                <w:iCs/>
                <w:sz w:val="24"/>
                <w:szCs w:val="24"/>
              </w:rPr>
              <w:t>8</w:t>
            </w:r>
            <w:r>
              <w:rPr>
                <w:bCs/>
                <w:iCs/>
                <w:sz w:val="24"/>
                <w:szCs w:val="24"/>
              </w:rPr>
              <w:t>月</w:t>
            </w:r>
            <w:r>
              <w:rPr>
                <w:bCs/>
                <w:iCs/>
                <w:sz w:val="24"/>
                <w:szCs w:val="24"/>
              </w:rPr>
              <w:t>28</w:t>
            </w:r>
            <w:r>
              <w:rPr>
                <w:bCs/>
                <w:iCs/>
                <w:sz w:val="24"/>
                <w:szCs w:val="24"/>
              </w:rPr>
              <w:t>日</w:t>
            </w:r>
          </w:p>
        </w:tc>
      </w:tr>
    </w:tbl>
    <w:p w:rsidR="0093715F" w:rsidRDefault="00B60306">
      <w:pPr>
        <w:tabs>
          <w:tab w:val="left" w:pos="5628"/>
        </w:tabs>
      </w:pPr>
      <w:r>
        <w:tab/>
      </w:r>
    </w:p>
    <w:sectPr w:rsidR="0093715F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C21" w:rsidRDefault="00787C21">
      <w:r>
        <w:separator/>
      </w:r>
    </w:p>
  </w:endnote>
  <w:endnote w:type="continuationSeparator" w:id="0">
    <w:p w:rsidR="00787C21" w:rsidRDefault="00787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C21" w:rsidRDefault="00787C21">
      <w:r>
        <w:separator/>
      </w:r>
    </w:p>
  </w:footnote>
  <w:footnote w:type="continuationSeparator" w:id="0">
    <w:p w:rsidR="00787C21" w:rsidRDefault="00787C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15F" w:rsidRDefault="0093715F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9762243"/>
    <w:multiLevelType w:val="singleLevel"/>
    <w:tmpl w:val="89762243"/>
    <w:lvl w:ilvl="0">
      <w:start w:val="10"/>
      <w:numFmt w:val="decimal"/>
      <w:suff w:val="nothing"/>
      <w:lvlText w:val="%1、"/>
      <w:lvlJc w:val="left"/>
    </w:lvl>
  </w:abstractNum>
  <w:abstractNum w:abstractNumId="1">
    <w:nsid w:val="A2A11014"/>
    <w:multiLevelType w:val="singleLevel"/>
    <w:tmpl w:val="A2A11014"/>
    <w:lvl w:ilvl="0">
      <w:start w:val="7"/>
      <w:numFmt w:val="decimal"/>
      <w:suff w:val="nothing"/>
      <w:lvlText w:val="%1、"/>
      <w:lvlJc w:val="left"/>
    </w:lvl>
  </w:abstractNum>
  <w:abstractNum w:abstractNumId="2">
    <w:nsid w:val="A544CE3E"/>
    <w:multiLevelType w:val="singleLevel"/>
    <w:tmpl w:val="A544CE3E"/>
    <w:lvl w:ilvl="0">
      <w:start w:val="1"/>
      <w:numFmt w:val="decimal"/>
      <w:suff w:val="nothing"/>
      <w:lvlText w:val="%1、"/>
      <w:lvlJc w:val="left"/>
    </w:lvl>
  </w:abstractNum>
  <w:abstractNum w:abstractNumId="3">
    <w:nsid w:val="377838CC"/>
    <w:multiLevelType w:val="hybridMultilevel"/>
    <w:tmpl w:val="BE960166"/>
    <w:lvl w:ilvl="0" w:tplc="6EC88EE8">
      <w:start w:val="3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>
    <w:nsid w:val="50550D8E"/>
    <w:multiLevelType w:val="hybridMultilevel"/>
    <w:tmpl w:val="AF40C846"/>
    <w:lvl w:ilvl="0" w:tplc="842AC0EC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>
    <w:nsid w:val="6A19EB25"/>
    <w:multiLevelType w:val="singleLevel"/>
    <w:tmpl w:val="6A19EB25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DF855B5"/>
    <w:multiLevelType w:val="hybridMultilevel"/>
    <w:tmpl w:val="5B5653CE"/>
    <w:lvl w:ilvl="0" w:tplc="D35AE2DA">
      <w:start w:val="8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1EC"/>
    <w:rsid w:val="00033068"/>
    <w:rsid w:val="00034320"/>
    <w:rsid w:val="0003651F"/>
    <w:rsid w:val="00040683"/>
    <w:rsid w:val="00043006"/>
    <w:rsid w:val="000758DF"/>
    <w:rsid w:val="00097DED"/>
    <w:rsid w:val="000A043F"/>
    <w:rsid w:val="000A1459"/>
    <w:rsid w:val="000A1EFA"/>
    <w:rsid w:val="000A5F67"/>
    <w:rsid w:val="000B12DF"/>
    <w:rsid w:val="000B4C95"/>
    <w:rsid w:val="000B5EF7"/>
    <w:rsid w:val="000D37A1"/>
    <w:rsid w:val="000D749B"/>
    <w:rsid w:val="000E2817"/>
    <w:rsid w:val="000E2B7D"/>
    <w:rsid w:val="000E5C89"/>
    <w:rsid w:val="000F57C1"/>
    <w:rsid w:val="000F696D"/>
    <w:rsid w:val="000F7CC5"/>
    <w:rsid w:val="001109AF"/>
    <w:rsid w:val="001161D3"/>
    <w:rsid w:val="00122AE3"/>
    <w:rsid w:val="001241C9"/>
    <w:rsid w:val="00136158"/>
    <w:rsid w:val="001364E4"/>
    <w:rsid w:val="001407CC"/>
    <w:rsid w:val="001473F2"/>
    <w:rsid w:val="00150C84"/>
    <w:rsid w:val="0015463D"/>
    <w:rsid w:val="00161B8A"/>
    <w:rsid w:val="00164B9B"/>
    <w:rsid w:val="00166F04"/>
    <w:rsid w:val="00167CBF"/>
    <w:rsid w:val="00172A27"/>
    <w:rsid w:val="00176E61"/>
    <w:rsid w:val="001850DF"/>
    <w:rsid w:val="00190CD4"/>
    <w:rsid w:val="00195C11"/>
    <w:rsid w:val="00196CAD"/>
    <w:rsid w:val="001A420D"/>
    <w:rsid w:val="001A49B6"/>
    <w:rsid w:val="001B0AB4"/>
    <w:rsid w:val="001C029F"/>
    <w:rsid w:val="001C31DD"/>
    <w:rsid w:val="001C61C5"/>
    <w:rsid w:val="001E2099"/>
    <w:rsid w:val="001F5A26"/>
    <w:rsid w:val="002049D9"/>
    <w:rsid w:val="00220F99"/>
    <w:rsid w:val="00221633"/>
    <w:rsid w:val="00222ABB"/>
    <w:rsid w:val="00231362"/>
    <w:rsid w:val="00233BB1"/>
    <w:rsid w:val="0024236E"/>
    <w:rsid w:val="00255686"/>
    <w:rsid w:val="00255EAB"/>
    <w:rsid w:val="00255FA9"/>
    <w:rsid w:val="0026367C"/>
    <w:rsid w:val="00266819"/>
    <w:rsid w:val="00272398"/>
    <w:rsid w:val="0027403B"/>
    <w:rsid w:val="00282163"/>
    <w:rsid w:val="00283C4D"/>
    <w:rsid w:val="002879CB"/>
    <w:rsid w:val="002944E5"/>
    <w:rsid w:val="002B4405"/>
    <w:rsid w:val="002B50C2"/>
    <w:rsid w:val="002C1B07"/>
    <w:rsid w:val="002C427A"/>
    <w:rsid w:val="002C7832"/>
    <w:rsid w:val="002C79B8"/>
    <w:rsid w:val="002D4B10"/>
    <w:rsid w:val="002D6DD8"/>
    <w:rsid w:val="00331839"/>
    <w:rsid w:val="003346B6"/>
    <w:rsid w:val="0034313D"/>
    <w:rsid w:val="00350EDB"/>
    <w:rsid w:val="0035150E"/>
    <w:rsid w:val="003523B1"/>
    <w:rsid w:val="003560D9"/>
    <w:rsid w:val="003577F6"/>
    <w:rsid w:val="0036391A"/>
    <w:rsid w:val="00367FAA"/>
    <w:rsid w:val="00377CE9"/>
    <w:rsid w:val="00381347"/>
    <w:rsid w:val="00381B39"/>
    <w:rsid w:val="0038328A"/>
    <w:rsid w:val="00383652"/>
    <w:rsid w:val="00390408"/>
    <w:rsid w:val="0039402E"/>
    <w:rsid w:val="003A3004"/>
    <w:rsid w:val="003A453D"/>
    <w:rsid w:val="003B1AEA"/>
    <w:rsid w:val="003B1C6A"/>
    <w:rsid w:val="003B1E95"/>
    <w:rsid w:val="003B7DDA"/>
    <w:rsid w:val="003D5F9E"/>
    <w:rsid w:val="003E0B4F"/>
    <w:rsid w:val="003E2E24"/>
    <w:rsid w:val="003F556D"/>
    <w:rsid w:val="004043B3"/>
    <w:rsid w:val="00405BE7"/>
    <w:rsid w:val="004135EA"/>
    <w:rsid w:val="004178B3"/>
    <w:rsid w:val="00425C6A"/>
    <w:rsid w:val="00426FC3"/>
    <w:rsid w:val="00432672"/>
    <w:rsid w:val="00441AF0"/>
    <w:rsid w:val="00443343"/>
    <w:rsid w:val="004465C5"/>
    <w:rsid w:val="004661F2"/>
    <w:rsid w:val="004741DD"/>
    <w:rsid w:val="00477613"/>
    <w:rsid w:val="004803E7"/>
    <w:rsid w:val="00480E1C"/>
    <w:rsid w:val="00482D78"/>
    <w:rsid w:val="00483322"/>
    <w:rsid w:val="00492610"/>
    <w:rsid w:val="00493AB8"/>
    <w:rsid w:val="0049672A"/>
    <w:rsid w:val="004A377D"/>
    <w:rsid w:val="004A4198"/>
    <w:rsid w:val="004B167B"/>
    <w:rsid w:val="004B6DD9"/>
    <w:rsid w:val="004B7723"/>
    <w:rsid w:val="004E1B44"/>
    <w:rsid w:val="004F1B78"/>
    <w:rsid w:val="004F7BE5"/>
    <w:rsid w:val="00504200"/>
    <w:rsid w:val="0050545A"/>
    <w:rsid w:val="00515D22"/>
    <w:rsid w:val="00517B20"/>
    <w:rsid w:val="00517E9F"/>
    <w:rsid w:val="00541406"/>
    <w:rsid w:val="0055193D"/>
    <w:rsid w:val="0055369F"/>
    <w:rsid w:val="005646AD"/>
    <w:rsid w:val="005A0F1B"/>
    <w:rsid w:val="005A4390"/>
    <w:rsid w:val="005B2C37"/>
    <w:rsid w:val="005B4B41"/>
    <w:rsid w:val="005B5183"/>
    <w:rsid w:val="005B56FC"/>
    <w:rsid w:val="005C3028"/>
    <w:rsid w:val="005D0962"/>
    <w:rsid w:val="005D0D03"/>
    <w:rsid w:val="005D6FA6"/>
    <w:rsid w:val="005E1396"/>
    <w:rsid w:val="005E1A38"/>
    <w:rsid w:val="005E3D5B"/>
    <w:rsid w:val="005E69ED"/>
    <w:rsid w:val="005F5C8A"/>
    <w:rsid w:val="00600FF5"/>
    <w:rsid w:val="006053C4"/>
    <w:rsid w:val="00622F4D"/>
    <w:rsid w:val="0063207D"/>
    <w:rsid w:val="00644EDD"/>
    <w:rsid w:val="00650BB8"/>
    <w:rsid w:val="00656F12"/>
    <w:rsid w:val="006608E6"/>
    <w:rsid w:val="0067431E"/>
    <w:rsid w:val="00681B4A"/>
    <w:rsid w:val="00685C92"/>
    <w:rsid w:val="006A2629"/>
    <w:rsid w:val="006B7AD7"/>
    <w:rsid w:val="006B7DF5"/>
    <w:rsid w:val="006C3D1D"/>
    <w:rsid w:val="006C5077"/>
    <w:rsid w:val="006C7C5F"/>
    <w:rsid w:val="006D0255"/>
    <w:rsid w:val="006D22A3"/>
    <w:rsid w:val="006D5329"/>
    <w:rsid w:val="006E4730"/>
    <w:rsid w:val="006E4F9A"/>
    <w:rsid w:val="006F397F"/>
    <w:rsid w:val="007066C1"/>
    <w:rsid w:val="00723631"/>
    <w:rsid w:val="007322F4"/>
    <w:rsid w:val="00755EDB"/>
    <w:rsid w:val="007575F6"/>
    <w:rsid w:val="0076092E"/>
    <w:rsid w:val="00766D10"/>
    <w:rsid w:val="007710A6"/>
    <w:rsid w:val="00783653"/>
    <w:rsid w:val="00787C21"/>
    <w:rsid w:val="00787CFE"/>
    <w:rsid w:val="00791F53"/>
    <w:rsid w:val="007A0441"/>
    <w:rsid w:val="007A2999"/>
    <w:rsid w:val="007A6845"/>
    <w:rsid w:val="007D02AA"/>
    <w:rsid w:val="007D2CE7"/>
    <w:rsid w:val="007E3957"/>
    <w:rsid w:val="007F2BED"/>
    <w:rsid w:val="00801D92"/>
    <w:rsid w:val="008201AE"/>
    <w:rsid w:val="00822A02"/>
    <w:rsid w:val="0082537D"/>
    <w:rsid w:val="00830302"/>
    <w:rsid w:val="00830C97"/>
    <w:rsid w:val="00833A3C"/>
    <w:rsid w:val="00837B24"/>
    <w:rsid w:val="00843011"/>
    <w:rsid w:val="0084469D"/>
    <w:rsid w:val="008449ED"/>
    <w:rsid w:val="00844C89"/>
    <w:rsid w:val="00845F88"/>
    <w:rsid w:val="00851994"/>
    <w:rsid w:val="0085568C"/>
    <w:rsid w:val="008567F3"/>
    <w:rsid w:val="00861D89"/>
    <w:rsid w:val="00876EF5"/>
    <w:rsid w:val="008904F3"/>
    <w:rsid w:val="00895C2E"/>
    <w:rsid w:val="008A4C99"/>
    <w:rsid w:val="008B356C"/>
    <w:rsid w:val="008B73E2"/>
    <w:rsid w:val="008C5EF5"/>
    <w:rsid w:val="008E6C20"/>
    <w:rsid w:val="008F2B68"/>
    <w:rsid w:val="00901F76"/>
    <w:rsid w:val="00917F96"/>
    <w:rsid w:val="0093715F"/>
    <w:rsid w:val="00940495"/>
    <w:rsid w:val="0094598B"/>
    <w:rsid w:val="0095556F"/>
    <w:rsid w:val="009559C7"/>
    <w:rsid w:val="00981FB7"/>
    <w:rsid w:val="00982EE3"/>
    <w:rsid w:val="00984E7F"/>
    <w:rsid w:val="00985036"/>
    <w:rsid w:val="00992C8D"/>
    <w:rsid w:val="009964FF"/>
    <w:rsid w:val="009A22B9"/>
    <w:rsid w:val="009B0253"/>
    <w:rsid w:val="009B3519"/>
    <w:rsid w:val="009C584E"/>
    <w:rsid w:val="009C74E9"/>
    <w:rsid w:val="009E1532"/>
    <w:rsid w:val="009E5289"/>
    <w:rsid w:val="00A028B8"/>
    <w:rsid w:val="00A03466"/>
    <w:rsid w:val="00A127FD"/>
    <w:rsid w:val="00A14ED5"/>
    <w:rsid w:val="00A3162E"/>
    <w:rsid w:val="00A33E76"/>
    <w:rsid w:val="00A40E7D"/>
    <w:rsid w:val="00A467D8"/>
    <w:rsid w:val="00A46C69"/>
    <w:rsid w:val="00A61D74"/>
    <w:rsid w:val="00A657BD"/>
    <w:rsid w:val="00A71FBA"/>
    <w:rsid w:val="00A732FE"/>
    <w:rsid w:val="00A733FA"/>
    <w:rsid w:val="00A773D0"/>
    <w:rsid w:val="00A82A69"/>
    <w:rsid w:val="00AA346F"/>
    <w:rsid w:val="00AA62CC"/>
    <w:rsid w:val="00AC6EED"/>
    <w:rsid w:val="00AD6DD7"/>
    <w:rsid w:val="00AF0A54"/>
    <w:rsid w:val="00AF4783"/>
    <w:rsid w:val="00B10041"/>
    <w:rsid w:val="00B133A1"/>
    <w:rsid w:val="00B15C03"/>
    <w:rsid w:val="00B2684A"/>
    <w:rsid w:val="00B325B2"/>
    <w:rsid w:val="00B3318B"/>
    <w:rsid w:val="00B33BA0"/>
    <w:rsid w:val="00B35F1D"/>
    <w:rsid w:val="00B37C6B"/>
    <w:rsid w:val="00B41AB5"/>
    <w:rsid w:val="00B60306"/>
    <w:rsid w:val="00B75983"/>
    <w:rsid w:val="00B81469"/>
    <w:rsid w:val="00B93240"/>
    <w:rsid w:val="00B97888"/>
    <w:rsid w:val="00BA0959"/>
    <w:rsid w:val="00BA3FE5"/>
    <w:rsid w:val="00BA7A88"/>
    <w:rsid w:val="00BB1A97"/>
    <w:rsid w:val="00BC3B14"/>
    <w:rsid w:val="00BC76EF"/>
    <w:rsid w:val="00BD36C1"/>
    <w:rsid w:val="00BD5B8C"/>
    <w:rsid w:val="00BD7BFD"/>
    <w:rsid w:val="00BD7CAF"/>
    <w:rsid w:val="00BE36CE"/>
    <w:rsid w:val="00BE48AA"/>
    <w:rsid w:val="00BF1A00"/>
    <w:rsid w:val="00BF4EBE"/>
    <w:rsid w:val="00BF7CFB"/>
    <w:rsid w:val="00C04404"/>
    <w:rsid w:val="00C06BC3"/>
    <w:rsid w:val="00C0725B"/>
    <w:rsid w:val="00C072F3"/>
    <w:rsid w:val="00C10DB6"/>
    <w:rsid w:val="00C12986"/>
    <w:rsid w:val="00C15763"/>
    <w:rsid w:val="00C16F1A"/>
    <w:rsid w:val="00C23239"/>
    <w:rsid w:val="00C2379D"/>
    <w:rsid w:val="00C30155"/>
    <w:rsid w:val="00C320C7"/>
    <w:rsid w:val="00C37F77"/>
    <w:rsid w:val="00C464D5"/>
    <w:rsid w:val="00C508A5"/>
    <w:rsid w:val="00C513CC"/>
    <w:rsid w:val="00C54DBC"/>
    <w:rsid w:val="00C63327"/>
    <w:rsid w:val="00C6584A"/>
    <w:rsid w:val="00C65F4F"/>
    <w:rsid w:val="00C6719D"/>
    <w:rsid w:val="00C76D2B"/>
    <w:rsid w:val="00C83D63"/>
    <w:rsid w:val="00C83DF1"/>
    <w:rsid w:val="00C86795"/>
    <w:rsid w:val="00C91F3E"/>
    <w:rsid w:val="00CA1EAB"/>
    <w:rsid w:val="00CB1138"/>
    <w:rsid w:val="00CB4FE3"/>
    <w:rsid w:val="00CB65A0"/>
    <w:rsid w:val="00CD0BC6"/>
    <w:rsid w:val="00CE49BD"/>
    <w:rsid w:val="00CE71DA"/>
    <w:rsid w:val="00CF3589"/>
    <w:rsid w:val="00D05DBA"/>
    <w:rsid w:val="00D22730"/>
    <w:rsid w:val="00D2334E"/>
    <w:rsid w:val="00D46E1E"/>
    <w:rsid w:val="00D47B5E"/>
    <w:rsid w:val="00D5162D"/>
    <w:rsid w:val="00D53236"/>
    <w:rsid w:val="00D600D9"/>
    <w:rsid w:val="00D601AD"/>
    <w:rsid w:val="00D605BD"/>
    <w:rsid w:val="00D60678"/>
    <w:rsid w:val="00D6237D"/>
    <w:rsid w:val="00D63A02"/>
    <w:rsid w:val="00D847FC"/>
    <w:rsid w:val="00D870B3"/>
    <w:rsid w:val="00D909FD"/>
    <w:rsid w:val="00D96478"/>
    <w:rsid w:val="00DA1A20"/>
    <w:rsid w:val="00DA1CCF"/>
    <w:rsid w:val="00DA26B2"/>
    <w:rsid w:val="00DC1131"/>
    <w:rsid w:val="00DC6739"/>
    <w:rsid w:val="00DD4EFC"/>
    <w:rsid w:val="00DE24BB"/>
    <w:rsid w:val="00DF2171"/>
    <w:rsid w:val="00DF228E"/>
    <w:rsid w:val="00DF4EB0"/>
    <w:rsid w:val="00DF75EA"/>
    <w:rsid w:val="00E0357D"/>
    <w:rsid w:val="00E04C99"/>
    <w:rsid w:val="00E06420"/>
    <w:rsid w:val="00E16715"/>
    <w:rsid w:val="00E216C2"/>
    <w:rsid w:val="00E323A5"/>
    <w:rsid w:val="00E33860"/>
    <w:rsid w:val="00E34176"/>
    <w:rsid w:val="00E434B4"/>
    <w:rsid w:val="00E5115B"/>
    <w:rsid w:val="00E53952"/>
    <w:rsid w:val="00E73231"/>
    <w:rsid w:val="00E74BF7"/>
    <w:rsid w:val="00E763BD"/>
    <w:rsid w:val="00E773AC"/>
    <w:rsid w:val="00E83656"/>
    <w:rsid w:val="00E8574C"/>
    <w:rsid w:val="00E87F69"/>
    <w:rsid w:val="00E943BA"/>
    <w:rsid w:val="00E96858"/>
    <w:rsid w:val="00EA46A7"/>
    <w:rsid w:val="00EB5052"/>
    <w:rsid w:val="00EC49ED"/>
    <w:rsid w:val="00EC4C0C"/>
    <w:rsid w:val="00ED0E94"/>
    <w:rsid w:val="00EF426A"/>
    <w:rsid w:val="00F000C8"/>
    <w:rsid w:val="00F03499"/>
    <w:rsid w:val="00F055AA"/>
    <w:rsid w:val="00F11F30"/>
    <w:rsid w:val="00F154E0"/>
    <w:rsid w:val="00F16C2A"/>
    <w:rsid w:val="00F17069"/>
    <w:rsid w:val="00F22D10"/>
    <w:rsid w:val="00F334A0"/>
    <w:rsid w:val="00F41BA8"/>
    <w:rsid w:val="00F44858"/>
    <w:rsid w:val="00F50B30"/>
    <w:rsid w:val="00F51A60"/>
    <w:rsid w:val="00F6170F"/>
    <w:rsid w:val="00F70A2E"/>
    <w:rsid w:val="00F75720"/>
    <w:rsid w:val="00F862B2"/>
    <w:rsid w:val="00F942C3"/>
    <w:rsid w:val="00FA283B"/>
    <w:rsid w:val="00FA712D"/>
    <w:rsid w:val="00FC3DF7"/>
    <w:rsid w:val="00FE502E"/>
    <w:rsid w:val="00FF4C9C"/>
    <w:rsid w:val="00FF7DAE"/>
    <w:rsid w:val="018C22E1"/>
    <w:rsid w:val="01D00199"/>
    <w:rsid w:val="04981D80"/>
    <w:rsid w:val="0C483BD9"/>
    <w:rsid w:val="14EC5E93"/>
    <w:rsid w:val="1B096BA9"/>
    <w:rsid w:val="1C732D8B"/>
    <w:rsid w:val="21AE7EE8"/>
    <w:rsid w:val="21BF74EF"/>
    <w:rsid w:val="22956A32"/>
    <w:rsid w:val="27336568"/>
    <w:rsid w:val="27EE00B3"/>
    <w:rsid w:val="28D266C7"/>
    <w:rsid w:val="2C3F48AC"/>
    <w:rsid w:val="2C484761"/>
    <w:rsid w:val="2FE3257E"/>
    <w:rsid w:val="31631222"/>
    <w:rsid w:val="37D3757F"/>
    <w:rsid w:val="3BBE6F29"/>
    <w:rsid w:val="3F114B82"/>
    <w:rsid w:val="42963825"/>
    <w:rsid w:val="52501378"/>
    <w:rsid w:val="526C2F4A"/>
    <w:rsid w:val="6007192C"/>
    <w:rsid w:val="60877FFA"/>
    <w:rsid w:val="6329744A"/>
    <w:rsid w:val="69E74D3E"/>
    <w:rsid w:val="6A527027"/>
    <w:rsid w:val="7137340A"/>
    <w:rsid w:val="7BBC4A81"/>
    <w:rsid w:val="7F6E5B6C"/>
    <w:rsid w:val="7FB04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FF0E0D5-3795-478B-9BEB-BC583EA9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annotation subject"/>
    <w:basedOn w:val="a3"/>
    <w:next w:val="a3"/>
    <w:link w:val="Char1"/>
    <w:qFormat/>
    <w:rPr>
      <w:b/>
      <w:bCs/>
    </w:rPr>
  </w:style>
  <w:style w:type="character" w:styleId="a9">
    <w:name w:val="page number"/>
    <w:basedOn w:val="a0"/>
    <w:qFormat/>
  </w:style>
  <w:style w:type="character" w:styleId="aa">
    <w:name w:val="annotation reference"/>
    <w:qFormat/>
    <w:rPr>
      <w:sz w:val="21"/>
      <w:szCs w:val="21"/>
    </w:rPr>
  </w:style>
  <w:style w:type="paragraph" w:customStyle="1" w:styleId="Style10">
    <w:name w:val="_Style 10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character" w:customStyle="1" w:styleId="Char1">
    <w:name w:val="批注主题 Char"/>
    <w:link w:val="a8"/>
    <w:qFormat/>
    <w:rPr>
      <w:b/>
      <w:bCs/>
      <w:kern w:val="2"/>
      <w:sz w:val="21"/>
    </w:rPr>
  </w:style>
  <w:style w:type="character" w:customStyle="1" w:styleId="Char">
    <w:name w:val="批注文字 Char"/>
    <w:link w:val="a3"/>
    <w:qFormat/>
    <w:rPr>
      <w:kern w:val="2"/>
      <w:sz w:val="21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3815BA-E1DC-4778-AA2C-CC6DD0F5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173</Words>
  <Characters>988</Characters>
  <Application>Microsoft Office Word</Application>
  <DocSecurity>0</DocSecurity>
  <Lines>8</Lines>
  <Paragraphs>2</Paragraphs>
  <ScaleCrop>false</ScaleCrop>
  <Company>微软中国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creator>Administrator</dc:creator>
  <cp:lastModifiedBy>changyan</cp:lastModifiedBy>
  <cp:revision>18</cp:revision>
  <dcterms:created xsi:type="dcterms:W3CDTF">2019-08-29T10:02:00Z</dcterms:created>
  <dcterms:modified xsi:type="dcterms:W3CDTF">2019-08-29T10:55:00Z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