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60969" w:rsidRPr="00051735" w14:paraId="53D0535F" w14:textId="77777777">
        <w:tc>
          <w:tcPr>
            <w:tcW w:w="4261" w:type="dxa"/>
          </w:tcPr>
          <w:p w14:paraId="6BF2CC7B" w14:textId="77777777" w:rsidR="00660969" w:rsidRPr="00051735" w:rsidRDefault="00DC3806">
            <w:pPr>
              <w:spacing w:beforeLines="50" w:before="156" w:afterLines="50" w:after="156" w:line="400" w:lineRule="exact"/>
              <w:ind w:firstLineChars="100" w:firstLine="240"/>
              <w:rPr>
                <w:bCs/>
                <w:iCs/>
                <w:sz w:val="24"/>
              </w:rPr>
            </w:pPr>
            <w:r w:rsidRPr="00051735">
              <w:rPr>
                <w:bCs/>
                <w:iCs/>
                <w:sz w:val="24"/>
              </w:rPr>
              <w:t>证券代码</w:t>
            </w:r>
            <w:r w:rsidRPr="00051735">
              <w:rPr>
                <w:rFonts w:hint="eastAsia"/>
                <w:bCs/>
                <w:iCs/>
                <w:sz w:val="24"/>
              </w:rPr>
              <w:t>：</w:t>
            </w:r>
            <w:r w:rsidRPr="00051735"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</w:tcPr>
          <w:p w14:paraId="5C9B7B26" w14:textId="77777777" w:rsidR="00660969" w:rsidRPr="00051735" w:rsidRDefault="00DC3806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051735">
              <w:rPr>
                <w:bCs/>
                <w:iCs/>
                <w:sz w:val="24"/>
              </w:rPr>
              <w:t>证券简称：</w:t>
            </w:r>
            <w:proofErr w:type="gramStart"/>
            <w:r w:rsidRPr="00051735">
              <w:rPr>
                <w:bCs/>
                <w:iCs/>
                <w:sz w:val="24"/>
              </w:rPr>
              <w:t>牧原股份</w:t>
            </w:r>
            <w:proofErr w:type="gramEnd"/>
          </w:p>
        </w:tc>
      </w:tr>
    </w:tbl>
    <w:p w14:paraId="7A1B32EF" w14:textId="77777777" w:rsidR="00660969" w:rsidRPr="00051735" w:rsidRDefault="00660969">
      <w:pPr>
        <w:spacing w:beforeLines="50" w:before="156" w:afterLines="50" w:after="156" w:line="400" w:lineRule="exact"/>
        <w:rPr>
          <w:bCs/>
          <w:iCs/>
          <w:sz w:val="24"/>
        </w:rPr>
      </w:pPr>
    </w:p>
    <w:p w14:paraId="007DE959" w14:textId="77777777" w:rsidR="00660969" w:rsidRPr="00051735" w:rsidRDefault="00DC3806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proofErr w:type="gramStart"/>
      <w:r w:rsidRPr="00051735">
        <w:rPr>
          <w:b/>
          <w:bCs/>
          <w:iCs/>
          <w:sz w:val="36"/>
          <w:szCs w:val="24"/>
        </w:rPr>
        <w:t>牧原食品</w:t>
      </w:r>
      <w:proofErr w:type="gramEnd"/>
      <w:r w:rsidRPr="00051735">
        <w:rPr>
          <w:b/>
          <w:bCs/>
          <w:iCs/>
          <w:sz w:val="36"/>
          <w:szCs w:val="24"/>
        </w:rPr>
        <w:t>股份有限公司</w:t>
      </w:r>
    </w:p>
    <w:p w14:paraId="796DABCF" w14:textId="77777777" w:rsidR="00660969" w:rsidRPr="00051735" w:rsidRDefault="00DC3806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 w:rsidRPr="00051735">
        <w:rPr>
          <w:b/>
          <w:bCs/>
          <w:iCs/>
          <w:sz w:val="36"/>
          <w:szCs w:val="24"/>
        </w:rPr>
        <w:t>投资者关系活动记录表</w:t>
      </w:r>
    </w:p>
    <w:p w14:paraId="7F65120B" w14:textId="77777777" w:rsidR="00660969" w:rsidRPr="00051735" w:rsidRDefault="00DC3806">
      <w:pPr>
        <w:spacing w:line="400" w:lineRule="exact"/>
        <w:jc w:val="right"/>
        <w:rPr>
          <w:bCs/>
          <w:iCs/>
          <w:sz w:val="24"/>
          <w:szCs w:val="24"/>
        </w:rPr>
      </w:pPr>
      <w:r w:rsidRPr="00051735">
        <w:rPr>
          <w:bCs/>
          <w:iCs/>
          <w:sz w:val="24"/>
          <w:szCs w:val="24"/>
        </w:rPr>
        <w:t>编号：</w:t>
      </w:r>
      <w:r w:rsidRPr="00051735">
        <w:rPr>
          <w:rFonts w:hint="eastAsia"/>
          <w:bCs/>
          <w:iCs/>
          <w:sz w:val="24"/>
          <w:szCs w:val="24"/>
        </w:rPr>
        <w:t>20</w:t>
      </w:r>
      <w:r w:rsidRPr="00051735">
        <w:rPr>
          <w:bCs/>
          <w:iCs/>
          <w:sz w:val="24"/>
          <w:szCs w:val="24"/>
        </w:rPr>
        <w:t>20</w:t>
      </w:r>
      <w:r w:rsidRPr="00051735">
        <w:rPr>
          <w:rFonts w:hint="eastAsia"/>
          <w:bCs/>
          <w:iCs/>
          <w:sz w:val="24"/>
          <w:szCs w:val="24"/>
        </w:rPr>
        <w:t>-0</w:t>
      </w:r>
      <w:r w:rsidRPr="00051735">
        <w:rPr>
          <w:bCs/>
          <w:iCs/>
          <w:sz w:val="24"/>
          <w:szCs w:val="24"/>
        </w:rPr>
        <w:t>6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815"/>
      </w:tblGrid>
      <w:tr w:rsidR="00660969" w:rsidRPr="00051735" w14:paraId="55C76B0C" w14:textId="77777777">
        <w:tc>
          <w:tcPr>
            <w:tcW w:w="2943" w:type="dxa"/>
          </w:tcPr>
          <w:p w14:paraId="63722050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14:paraId="2C4E81B1" w14:textId="77777777" w:rsidR="00660969" w:rsidRPr="00051735" w:rsidRDefault="00660969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815" w:type="dxa"/>
          </w:tcPr>
          <w:p w14:paraId="5AD23AF7" w14:textId="77777777" w:rsidR="0049089A" w:rsidRDefault="0049089A" w:rsidP="0049089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特定对象调研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分析师会议</w:t>
            </w:r>
          </w:p>
          <w:p w14:paraId="4E2D0380" w14:textId="77777777" w:rsidR="0049089A" w:rsidRDefault="0049089A" w:rsidP="0049089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媒体采访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业绩说明会</w:t>
            </w:r>
          </w:p>
          <w:p w14:paraId="2FEC2350" w14:textId="77777777" w:rsidR="0049089A" w:rsidRDefault="0049089A" w:rsidP="0049089A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新闻发布会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路演活动</w:t>
            </w:r>
          </w:p>
          <w:p w14:paraId="1113776D" w14:textId="77777777" w:rsidR="0049089A" w:rsidRDefault="0049089A" w:rsidP="0049089A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现场参观</w:t>
            </w:r>
            <w:r>
              <w:rPr>
                <w:bCs/>
                <w:iCs/>
                <w:sz w:val="24"/>
                <w:szCs w:val="24"/>
              </w:rPr>
              <w:tab/>
            </w:r>
          </w:p>
          <w:p w14:paraId="32D94F64" w14:textId="77777777" w:rsidR="00660969" w:rsidRPr="00051735" w:rsidRDefault="0049089A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√</w:t>
            </w:r>
            <w:r>
              <w:rPr>
                <w:sz w:val="24"/>
                <w:szCs w:val="24"/>
              </w:rPr>
              <w:t>其他（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</w:t>
            </w:r>
            <w:r>
              <w:rPr>
                <w:rFonts w:hint="eastAsia"/>
                <w:sz w:val="24"/>
                <w:szCs w:val="24"/>
                <w:u w:val="single"/>
              </w:rPr>
              <w:t>年年度</w:t>
            </w:r>
            <w:r>
              <w:rPr>
                <w:sz w:val="24"/>
                <w:szCs w:val="24"/>
                <w:u w:val="single"/>
              </w:rPr>
              <w:t>股东大会）</w:t>
            </w:r>
          </w:p>
        </w:tc>
      </w:tr>
      <w:tr w:rsidR="00660969" w:rsidRPr="00051735" w14:paraId="53DAA410" w14:textId="77777777">
        <w:tc>
          <w:tcPr>
            <w:tcW w:w="2943" w:type="dxa"/>
          </w:tcPr>
          <w:p w14:paraId="5E627C48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5815" w:type="dxa"/>
          </w:tcPr>
          <w:p w14:paraId="0346B698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河南鸿宝集团宣俊杰、孟华伟</w:t>
            </w:r>
          </w:p>
          <w:p w14:paraId="4AD78FED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驭</w:t>
            </w:r>
            <w:proofErr w:type="gramStart"/>
            <w:r w:rsidRPr="00051735">
              <w:rPr>
                <w:rFonts w:hint="eastAsia"/>
                <w:bCs/>
                <w:iCs/>
                <w:sz w:val="24"/>
                <w:szCs w:val="24"/>
              </w:rPr>
              <w:t>秉</w:t>
            </w:r>
            <w:proofErr w:type="gramEnd"/>
            <w:r w:rsidRPr="00051735">
              <w:rPr>
                <w:rFonts w:hint="eastAsia"/>
                <w:bCs/>
                <w:iCs/>
                <w:sz w:val="24"/>
                <w:szCs w:val="24"/>
              </w:rPr>
              <w:t>投资蒋君</w:t>
            </w:r>
          </w:p>
          <w:p w14:paraId="4AB96578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东方</w:t>
            </w:r>
            <w:proofErr w:type="gramStart"/>
            <w:r w:rsidRPr="00051735">
              <w:rPr>
                <w:rFonts w:hint="eastAsia"/>
                <w:bCs/>
                <w:iCs/>
                <w:sz w:val="24"/>
                <w:szCs w:val="24"/>
              </w:rPr>
              <w:t>港湾</w:t>
            </w:r>
            <w:r w:rsidRPr="00051735">
              <w:rPr>
                <w:bCs/>
                <w:iCs/>
                <w:sz w:val="24"/>
                <w:szCs w:val="24"/>
              </w:rPr>
              <w:t>马</w:t>
            </w:r>
            <w:proofErr w:type="gramEnd"/>
            <w:r w:rsidRPr="00051735">
              <w:rPr>
                <w:bCs/>
                <w:iCs/>
                <w:sz w:val="24"/>
                <w:szCs w:val="24"/>
              </w:rPr>
              <w:t>腾</w:t>
            </w:r>
          </w:p>
          <w:p w14:paraId="45768C6D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bCs/>
                <w:iCs/>
                <w:sz w:val="24"/>
                <w:szCs w:val="24"/>
              </w:rPr>
              <w:t>启明</w:t>
            </w:r>
            <w:proofErr w:type="gramStart"/>
            <w:r w:rsidRPr="00051735">
              <w:rPr>
                <w:bCs/>
                <w:iCs/>
                <w:sz w:val="24"/>
                <w:szCs w:val="24"/>
              </w:rPr>
              <w:t>乐投资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赵</w:t>
            </w:r>
            <w:proofErr w:type="gramEnd"/>
            <w:r w:rsidRPr="00051735">
              <w:rPr>
                <w:rFonts w:hint="eastAsia"/>
                <w:bCs/>
                <w:iCs/>
                <w:sz w:val="24"/>
                <w:szCs w:val="24"/>
              </w:rPr>
              <w:t>江辉、彭青霞</w:t>
            </w:r>
          </w:p>
          <w:p w14:paraId="6FF617A6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bCs/>
                <w:iCs/>
                <w:sz w:val="24"/>
                <w:szCs w:val="24"/>
              </w:rPr>
              <w:t>瑞华投资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葛苑姣</w:t>
            </w:r>
          </w:p>
          <w:p w14:paraId="4EF62447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bCs/>
                <w:iCs/>
                <w:sz w:val="24"/>
                <w:szCs w:val="24"/>
              </w:rPr>
              <w:t>周立恒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051735">
              <w:rPr>
                <w:bCs/>
                <w:iCs/>
                <w:sz w:val="24"/>
                <w:szCs w:val="24"/>
              </w:rPr>
              <w:t>严海峰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051735">
              <w:rPr>
                <w:bCs/>
                <w:iCs/>
                <w:sz w:val="24"/>
                <w:szCs w:val="24"/>
              </w:rPr>
              <w:t>刘一凡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051735">
              <w:rPr>
                <w:bCs/>
                <w:iCs/>
                <w:sz w:val="24"/>
                <w:szCs w:val="24"/>
              </w:rPr>
              <w:t>童话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、</w:t>
            </w:r>
            <w:r w:rsidRPr="00051735">
              <w:rPr>
                <w:bCs/>
                <w:iCs/>
                <w:sz w:val="24"/>
                <w:szCs w:val="24"/>
              </w:rPr>
              <w:t>仇石石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、</w:t>
            </w:r>
            <w:proofErr w:type="gramStart"/>
            <w:r w:rsidRPr="00051735">
              <w:rPr>
                <w:rFonts w:hint="eastAsia"/>
                <w:bCs/>
                <w:iCs/>
                <w:sz w:val="24"/>
                <w:szCs w:val="24"/>
              </w:rPr>
              <w:t>豆云峰</w:t>
            </w:r>
            <w:proofErr w:type="gramEnd"/>
            <w:r w:rsidRPr="00051735">
              <w:rPr>
                <w:rFonts w:hint="eastAsia"/>
                <w:bCs/>
                <w:iCs/>
                <w:sz w:val="24"/>
                <w:szCs w:val="24"/>
              </w:rPr>
              <w:t>、张超、廖永、李克华、刘素英、张求佳、吕征、李传金、李和军、陈岁等</w:t>
            </w:r>
          </w:p>
        </w:tc>
      </w:tr>
      <w:tr w:rsidR="00660969" w:rsidRPr="00051735" w14:paraId="0713B5A6" w14:textId="77777777">
        <w:tc>
          <w:tcPr>
            <w:tcW w:w="2943" w:type="dxa"/>
          </w:tcPr>
          <w:p w14:paraId="05D4E5B7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5815" w:type="dxa"/>
          </w:tcPr>
          <w:p w14:paraId="537D402C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bCs/>
                <w:iCs/>
                <w:sz w:val="24"/>
                <w:szCs w:val="24"/>
              </w:rPr>
              <w:t>2020</w:t>
            </w:r>
            <w:r w:rsidRPr="00051735">
              <w:rPr>
                <w:bCs/>
                <w:iCs/>
                <w:sz w:val="24"/>
                <w:szCs w:val="24"/>
              </w:rPr>
              <w:t>年</w:t>
            </w:r>
            <w:r w:rsidRPr="00051735">
              <w:rPr>
                <w:bCs/>
                <w:iCs/>
                <w:sz w:val="24"/>
                <w:szCs w:val="24"/>
              </w:rPr>
              <w:t>5</w:t>
            </w:r>
            <w:r w:rsidRPr="00051735">
              <w:rPr>
                <w:bCs/>
                <w:iCs/>
                <w:sz w:val="24"/>
                <w:szCs w:val="24"/>
              </w:rPr>
              <w:t>月</w:t>
            </w:r>
            <w:r w:rsidRPr="00051735">
              <w:rPr>
                <w:bCs/>
                <w:iCs/>
                <w:sz w:val="24"/>
                <w:szCs w:val="24"/>
              </w:rPr>
              <w:t>18</w:t>
            </w:r>
            <w:r w:rsidRPr="00051735">
              <w:rPr>
                <w:bCs/>
                <w:iCs/>
                <w:sz w:val="24"/>
                <w:szCs w:val="24"/>
              </w:rPr>
              <w:t>日</w:t>
            </w:r>
          </w:p>
        </w:tc>
      </w:tr>
      <w:tr w:rsidR="00660969" w:rsidRPr="00051735" w14:paraId="7999870F" w14:textId="77777777">
        <w:tc>
          <w:tcPr>
            <w:tcW w:w="2943" w:type="dxa"/>
          </w:tcPr>
          <w:p w14:paraId="1A2C56BB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5815" w:type="dxa"/>
          </w:tcPr>
          <w:p w14:paraId="32080AF7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公司会议室</w:t>
            </w:r>
          </w:p>
        </w:tc>
      </w:tr>
      <w:tr w:rsidR="00660969" w:rsidRPr="00051735" w14:paraId="0E28C3EF" w14:textId="77777777">
        <w:tc>
          <w:tcPr>
            <w:tcW w:w="2943" w:type="dxa"/>
          </w:tcPr>
          <w:p w14:paraId="11DF48C8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5815" w:type="dxa"/>
          </w:tcPr>
          <w:p w14:paraId="3DF7DDB9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bCs/>
                <w:iCs/>
                <w:sz w:val="24"/>
                <w:szCs w:val="24"/>
              </w:rPr>
              <w:t>公司董事钱瑛</w:t>
            </w:r>
          </w:p>
          <w:p w14:paraId="6901DD78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bCs/>
                <w:iCs/>
                <w:sz w:val="24"/>
                <w:szCs w:val="24"/>
              </w:rPr>
              <w:t>公司副董事长、常务副总裁、财务负责人</w:t>
            </w:r>
            <w:proofErr w:type="gramStart"/>
            <w:r w:rsidRPr="00051735">
              <w:rPr>
                <w:rFonts w:hint="eastAsia"/>
                <w:bCs/>
                <w:iCs/>
                <w:sz w:val="24"/>
                <w:szCs w:val="24"/>
              </w:rPr>
              <w:t>曹治年</w:t>
            </w:r>
            <w:proofErr w:type="gramEnd"/>
          </w:p>
          <w:p w14:paraId="079A2794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公司副总裁褚柯</w:t>
            </w:r>
          </w:p>
          <w:p w14:paraId="3FED0A38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公司副总裁杨瑞华</w:t>
            </w:r>
          </w:p>
          <w:p w14:paraId="03ADDBB1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公司董事会秘书、首席战略官（</w:t>
            </w:r>
            <w:r w:rsidRPr="00051735">
              <w:rPr>
                <w:bCs/>
                <w:iCs/>
                <w:sz w:val="24"/>
                <w:szCs w:val="24"/>
              </w:rPr>
              <w:t>CSO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）秦军</w:t>
            </w:r>
          </w:p>
          <w:p w14:paraId="3FD1C482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公司养猪生产首席运营官李彦朋</w:t>
            </w:r>
          </w:p>
          <w:p w14:paraId="6D6C7355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rFonts w:hint="eastAsia"/>
                <w:bCs/>
                <w:iCs/>
                <w:sz w:val="24"/>
                <w:szCs w:val="24"/>
              </w:rPr>
              <w:t>公司首席智能官（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CAIO</w:t>
            </w:r>
            <w:r w:rsidRPr="00051735">
              <w:rPr>
                <w:rFonts w:hint="eastAsia"/>
                <w:bCs/>
                <w:iCs/>
                <w:sz w:val="24"/>
                <w:szCs w:val="24"/>
              </w:rPr>
              <w:t>）张玉良</w:t>
            </w:r>
          </w:p>
          <w:p w14:paraId="74918859" w14:textId="77777777" w:rsidR="00660969" w:rsidRPr="00051735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proofErr w:type="gramStart"/>
            <w:r w:rsidRPr="00051735">
              <w:rPr>
                <w:rFonts w:hint="eastAsia"/>
                <w:bCs/>
                <w:iCs/>
                <w:sz w:val="24"/>
                <w:szCs w:val="24"/>
              </w:rPr>
              <w:lastRenderedPageBreak/>
              <w:t>公司牧原肉食</w:t>
            </w:r>
            <w:proofErr w:type="gramEnd"/>
            <w:r w:rsidRPr="00051735">
              <w:rPr>
                <w:rFonts w:hint="eastAsia"/>
                <w:bCs/>
                <w:iCs/>
                <w:sz w:val="24"/>
                <w:szCs w:val="24"/>
              </w:rPr>
              <w:t>总经理徐绍涛</w:t>
            </w:r>
          </w:p>
        </w:tc>
      </w:tr>
      <w:tr w:rsidR="00660969" w:rsidRPr="00051735" w14:paraId="14766C16" w14:textId="77777777">
        <w:trPr>
          <w:trHeight w:val="1125"/>
        </w:trPr>
        <w:tc>
          <w:tcPr>
            <w:tcW w:w="8758" w:type="dxa"/>
            <w:gridSpan w:val="2"/>
          </w:tcPr>
          <w:p w14:paraId="4CF15634" w14:textId="77777777" w:rsidR="00660969" w:rsidRPr="00051735" w:rsidRDefault="00DC3806">
            <w:pPr>
              <w:pStyle w:val="ab"/>
              <w:spacing w:before="0" w:beforeAutospacing="0" w:after="0" w:afterAutospacing="0" w:line="48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iCs/>
                <w:sz w:val="28"/>
                <w:szCs w:val="28"/>
              </w:rPr>
            </w:pPr>
            <w:r w:rsidRPr="00051735">
              <w:rPr>
                <w:rFonts w:asciiTheme="minorEastAsia" w:eastAsiaTheme="minorEastAsia" w:hAnsiTheme="minorEastAsia" w:cstheme="minorEastAsia" w:hint="eastAsia"/>
                <w:b/>
                <w:bCs/>
                <w:iCs/>
                <w:sz w:val="28"/>
                <w:szCs w:val="28"/>
              </w:rPr>
              <w:lastRenderedPageBreak/>
              <w:t>会谈主要内容</w:t>
            </w:r>
          </w:p>
          <w:p w14:paraId="6184F370" w14:textId="77777777" w:rsidR="00660969" w:rsidRPr="00051735" w:rsidRDefault="00DC3806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051735">
              <w:rPr>
                <w:rFonts w:ascii="宋体" w:hAnsi="宋体"/>
                <w:b/>
                <w:sz w:val="24"/>
                <w:szCs w:val="24"/>
                <w:lang w:val="zh-CN"/>
              </w:rPr>
              <w:t>1</w:t>
            </w: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、对近期猪价的下跌及未来1</w:t>
            </w:r>
            <w:r w:rsidRPr="00051735">
              <w:rPr>
                <w:rFonts w:ascii="宋体" w:hAnsi="宋体"/>
                <w:b/>
                <w:sz w:val="24"/>
                <w:szCs w:val="24"/>
                <w:lang w:val="zh-CN"/>
              </w:rPr>
              <w:t>-2</w:t>
            </w: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年的猪价走势的看法？</w:t>
            </w:r>
          </w:p>
          <w:p w14:paraId="447BF4C4" w14:textId="77777777" w:rsidR="00660969" w:rsidRPr="00051735" w:rsidRDefault="00DC380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近期猪价下跌有以下几个方面的因素</w:t>
            </w:r>
            <w:r w:rsidRPr="00051735">
              <w:rPr>
                <w:rFonts w:ascii="宋体" w:hAnsi="宋体"/>
                <w:sz w:val="24"/>
                <w:szCs w:val="24"/>
              </w:rPr>
              <w:t>：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第一是近期需求较弱</w:t>
            </w:r>
            <w:r w:rsidRPr="00051735">
              <w:rPr>
                <w:rFonts w:ascii="宋体" w:hAnsi="宋体"/>
                <w:sz w:val="24"/>
                <w:szCs w:val="24"/>
              </w:rPr>
              <w:t>；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第二是因为市场中大体重猪较多，猪价下跌导致部分养殖户恐慌性抛售，导致猪肉供给增加</w:t>
            </w:r>
            <w:r w:rsidRPr="00051735">
              <w:rPr>
                <w:rFonts w:ascii="宋体" w:hAnsi="宋体"/>
                <w:sz w:val="24"/>
                <w:szCs w:val="24"/>
              </w:rPr>
              <w:t>；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第三是进口猪肉增加，今年一季度进口猪肉9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5.1万吨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，同比</w:t>
            </w:r>
            <w:r w:rsidR="000F5665">
              <w:rPr>
                <w:rFonts w:ascii="宋体" w:hAnsi="宋体" w:hint="eastAsia"/>
                <w:sz w:val="24"/>
                <w:szCs w:val="24"/>
                <w:lang w:val="zh-CN"/>
              </w:rPr>
              <w:t>增加1</w:t>
            </w:r>
            <w:r w:rsidR="000F5665">
              <w:rPr>
                <w:rFonts w:ascii="宋体" w:hAnsi="宋体"/>
                <w:sz w:val="24"/>
                <w:szCs w:val="24"/>
                <w:lang w:val="zh-CN"/>
              </w:rPr>
              <w:t>.7倍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</w:p>
          <w:p w14:paraId="6269DE50" w14:textId="77777777" w:rsidR="00660969" w:rsidRPr="00051735" w:rsidRDefault="00DC380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猪价</w:t>
            </w:r>
            <w:r w:rsidRPr="00051735">
              <w:rPr>
                <w:rFonts w:ascii="宋体" w:hAnsi="宋体"/>
                <w:sz w:val="24"/>
                <w:szCs w:val="24"/>
              </w:rPr>
              <w:t>是决定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公司未来两年发展速度的重要因素，因为猪价的变动会影响现金流</w:t>
            </w:r>
            <w:r w:rsidRPr="00051735">
              <w:rPr>
                <w:rFonts w:ascii="宋体" w:hAnsi="宋体"/>
                <w:sz w:val="24"/>
                <w:szCs w:val="24"/>
              </w:rPr>
              <w:t>。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公司会根据现金流的状况调整发展速度，保证正常经营。</w:t>
            </w:r>
          </w:p>
          <w:p w14:paraId="12829E79" w14:textId="77777777" w:rsidR="00660969" w:rsidRPr="00051735" w:rsidRDefault="00DC3806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2、楼房养猪的技术难度以及该种模式的扩张速度？</w:t>
            </w:r>
          </w:p>
          <w:p w14:paraId="380641A7" w14:textId="77777777" w:rsidR="00660969" w:rsidRPr="00051735" w:rsidRDefault="00DC380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目前公司对楼房养猪采取比较谨慎的态度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只开工建设了内乡的楼房养猪项目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proofErr w:type="gramStart"/>
            <w:r w:rsidRPr="00051735">
              <w:rPr>
                <w:rFonts w:ascii="宋体" w:hAnsi="宋体"/>
                <w:sz w:val="24"/>
                <w:szCs w:val="24"/>
                <w:lang w:val="zh-CN"/>
              </w:rPr>
              <w:t>以内乡</w:t>
            </w:r>
            <w:proofErr w:type="gramEnd"/>
            <w:r w:rsidR="0049089A">
              <w:rPr>
                <w:rFonts w:ascii="宋体" w:hAnsi="宋体"/>
                <w:sz w:val="24"/>
                <w:szCs w:val="24"/>
                <w:lang w:val="zh-CN"/>
              </w:rPr>
              <w:t>的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楼房猪舍项目为试点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试验成功后</w:t>
            </w:r>
            <w:r w:rsidRPr="00051735">
              <w:rPr>
                <w:rFonts w:ascii="宋体" w:hAnsi="宋体"/>
                <w:sz w:val="24"/>
                <w:szCs w:val="24"/>
              </w:rPr>
              <w:t>再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进行推广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。目前来看，技术难度主要来自两方面，第一是楼房猪舍的设计方面有较多突破，第二是运用了较多的智能化技术。</w:t>
            </w:r>
          </w:p>
          <w:p w14:paraId="63117843" w14:textId="77777777" w:rsidR="00660969" w:rsidRPr="00051735" w:rsidRDefault="00DC380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根据财务测算，楼房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猪舍的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固定资产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投资比传统的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平铺猪舍要高2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0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%-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30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%，但是楼房猪舍的使用寿命更长，而且由于协同效应，楼房猪舍的人工效率和土地利用效率更高</w:t>
            </w:r>
            <w:r w:rsidRPr="00051735">
              <w:rPr>
                <w:rFonts w:ascii="宋体" w:hAnsi="宋体"/>
                <w:sz w:val="24"/>
                <w:szCs w:val="24"/>
              </w:rPr>
              <w:t>。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所以综合测算下来，出栏生猪的头均成本和平铺猪舍相比并未增加。</w:t>
            </w:r>
          </w:p>
          <w:p w14:paraId="303F7EF4" w14:textId="77777777" w:rsidR="00660969" w:rsidRPr="00051735" w:rsidRDefault="00DC3806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3、公司对于屠宰业务是怎么考虑的？</w:t>
            </w:r>
          </w:p>
          <w:p w14:paraId="0EF61D9A" w14:textId="77777777" w:rsidR="00660969" w:rsidRPr="00051735" w:rsidRDefault="00DC380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非洲猪瘟发生后，国家出台相关政策要求变化传统生猪调运方式，鼓励生猪就地屠宰，实现养殖屠宰配套，产销顺畅衔接。为此，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公司开始在养殖产能</w:t>
            </w:r>
            <w:r w:rsidR="0049089A">
              <w:rPr>
                <w:rFonts w:ascii="宋体" w:hAnsi="宋体" w:hint="eastAsia"/>
                <w:sz w:val="24"/>
                <w:szCs w:val="24"/>
                <w:lang w:val="zh-CN"/>
              </w:rPr>
              <w:t>布局</w:t>
            </w:r>
            <w:r w:rsidR="0049089A">
              <w:rPr>
                <w:rFonts w:ascii="宋体" w:hAnsi="宋体"/>
                <w:sz w:val="24"/>
                <w:szCs w:val="24"/>
                <w:lang w:val="zh-CN"/>
              </w:rPr>
              <w:t>较多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的地区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建设屠宰厂以应对“调猪”转向“调肉”的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趋势变化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。但是从公司的发展战略上来看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，2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020年重点工作的第一位仍然是快速扩大养殖产能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第二位才是扩充屠宰产能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未来肉制品方面会更加开放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采用多种方式扩充产能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</w:p>
          <w:p w14:paraId="12DA50F3" w14:textId="77777777" w:rsidR="00660969" w:rsidRPr="00051735" w:rsidRDefault="00DC3806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4、长期来看，公司的二元回交体系是否会导致种猪生产性能的下降？</w:t>
            </w:r>
          </w:p>
          <w:p w14:paraId="5C603000" w14:textId="77777777" w:rsidR="00660969" w:rsidRPr="00051735" w:rsidRDefault="00DC380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公司现有的二元回交体系已经持续2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0多年了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并未因非洲猪瘟而发生改变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，这是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利润导向的结果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。经过2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0多年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的选育，种猪的瘦肉率、产仔数等生产指标都有所提升。未来，公司会继续并且有信心使用二元回交体系来选育优秀种猪。</w:t>
            </w:r>
          </w:p>
          <w:p w14:paraId="711E52E7" w14:textId="77777777" w:rsidR="00660969" w:rsidRPr="00051735" w:rsidRDefault="00DC3806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5、从</w:t>
            </w:r>
            <w:proofErr w:type="gramStart"/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一</w:t>
            </w:r>
            <w:proofErr w:type="gramEnd"/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季报来看，管理费用同比增加较多的原因？</w:t>
            </w:r>
          </w:p>
          <w:p w14:paraId="335F5F21" w14:textId="77777777" w:rsidR="00660969" w:rsidRPr="00051735" w:rsidRDefault="00DC380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主要是确认限制性股票回购义务和</w:t>
            </w:r>
            <w:proofErr w:type="gramStart"/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职工薪</w:t>
            </w:r>
            <w:proofErr w:type="gramEnd"/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酬、财产险保费</w:t>
            </w:r>
            <w:r w:rsidR="000F5665">
              <w:rPr>
                <w:rFonts w:ascii="宋体" w:hAnsi="宋体" w:hint="eastAsia"/>
                <w:sz w:val="24"/>
                <w:szCs w:val="24"/>
                <w:lang w:val="zh-CN"/>
              </w:rPr>
              <w:t>增加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导致的。</w:t>
            </w:r>
          </w:p>
          <w:p w14:paraId="6CD14E86" w14:textId="77777777" w:rsidR="00660969" w:rsidRPr="00051735" w:rsidRDefault="00DC3806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6、仔猪价格变化较大，公司是否会考虑增加仔猪销售量？</w:t>
            </w:r>
          </w:p>
          <w:p w14:paraId="34BE6D35" w14:textId="77777777" w:rsidR="00660969" w:rsidRPr="00051735" w:rsidRDefault="00DC380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lastRenderedPageBreak/>
              <w:t>公司</w:t>
            </w:r>
            <w:r w:rsidR="008432B2">
              <w:rPr>
                <w:rFonts w:ascii="宋体" w:hAnsi="宋体"/>
                <w:sz w:val="24"/>
                <w:szCs w:val="24"/>
                <w:lang w:val="zh-CN"/>
              </w:rPr>
              <w:t>以利润为导向</w:t>
            </w:r>
            <w:r w:rsidR="008432B2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根据市场行情决定仔猪销售量，按照经验，在仔猪利润超过育肥</w:t>
            </w:r>
            <w:proofErr w:type="gramStart"/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猪利润</w:t>
            </w:r>
            <w:proofErr w:type="gramEnd"/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的8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0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%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时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="008432B2">
              <w:rPr>
                <w:rFonts w:ascii="宋体" w:hAnsi="宋体" w:hint="eastAsia"/>
                <w:sz w:val="24"/>
                <w:szCs w:val="24"/>
                <w:lang w:val="zh-CN"/>
              </w:rPr>
              <w:t>应灵活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调整销售策略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，</w:t>
            </w:r>
            <w:r w:rsidRPr="00051735">
              <w:rPr>
                <w:rFonts w:ascii="宋体" w:hAnsi="宋体"/>
                <w:sz w:val="24"/>
                <w:szCs w:val="24"/>
                <w:lang w:val="zh-CN"/>
              </w:rPr>
              <w:t>增加仔猪销售数量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</w:p>
          <w:p w14:paraId="08704DEB" w14:textId="77777777" w:rsidR="00660969" w:rsidRPr="00051735" w:rsidRDefault="00DC3806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 w:rsidRPr="00051735">
              <w:rPr>
                <w:rFonts w:ascii="宋体" w:hAnsi="宋体"/>
                <w:b/>
                <w:sz w:val="24"/>
                <w:szCs w:val="24"/>
                <w:lang w:val="zh-CN"/>
              </w:rPr>
              <w:t>7</w:t>
            </w:r>
            <w:r w:rsidRPr="0005173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、公司智能化发展情况如何？</w:t>
            </w:r>
          </w:p>
          <w:p w14:paraId="5769E4AC" w14:textId="77777777" w:rsidR="00660969" w:rsidRPr="00051735" w:rsidRDefault="00DC3806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proofErr w:type="gramStart"/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牧原的</w:t>
            </w:r>
            <w:proofErr w:type="gramEnd"/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智能化完全是建立在较低的成本投入和较高的价值输出层面上的。第一，公司智能化研发需求来源于生产需求</w:t>
            </w:r>
            <w:r w:rsidRPr="00051735">
              <w:rPr>
                <w:rFonts w:ascii="宋体" w:hAnsi="宋体"/>
                <w:sz w:val="24"/>
                <w:szCs w:val="24"/>
              </w:rPr>
              <w:t>，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主要是服务于养猪，解决生产问题；第二，研发方案会将成本考虑在内，如果一项技术很先进但成本很高，是不能进行推广和落地的，</w:t>
            </w:r>
            <w:proofErr w:type="gramStart"/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牧原的</w:t>
            </w:r>
            <w:proofErr w:type="gramEnd"/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>智能化</w:t>
            </w:r>
            <w:r w:rsidR="000F5665">
              <w:rPr>
                <w:rFonts w:ascii="宋体" w:hAnsi="宋体" w:hint="eastAsia"/>
                <w:sz w:val="24"/>
                <w:szCs w:val="24"/>
                <w:lang w:val="zh-CN"/>
              </w:rPr>
              <w:t>是</w:t>
            </w:r>
            <w:r w:rsidRPr="00051735">
              <w:rPr>
                <w:rFonts w:ascii="宋体" w:hAnsi="宋体" w:hint="eastAsia"/>
                <w:sz w:val="24"/>
                <w:szCs w:val="24"/>
                <w:lang w:val="zh-CN"/>
              </w:rPr>
              <w:t xml:space="preserve">采用最低的成本和最简单的方式去解决公司的实际问题。 </w:t>
            </w:r>
          </w:p>
        </w:tc>
      </w:tr>
      <w:tr w:rsidR="00660969" w:rsidRPr="00051735" w14:paraId="20FCE2EB" w14:textId="77777777">
        <w:tc>
          <w:tcPr>
            <w:tcW w:w="2943" w:type="dxa"/>
            <w:vAlign w:val="center"/>
          </w:tcPr>
          <w:p w14:paraId="1E1D340D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5815" w:type="dxa"/>
          </w:tcPr>
          <w:p w14:paraId="6162A911" w14:textId="77777777" w:rsidR="00660969" w:rsidRPr="00051735" w:rsidRDefault="00660969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660969" w14:paraId="1A1C435D" w14:textId="77777777">
        <w:tc>
          <w:tcPr>
            <w:tcW w:w="2943" w:type="dxa"/>
            <w:vAlign w:val="center"/>
          </w:tcPr>
          <w:p w14:paraId="209A20DF" w14:textId="77777777" w:rsidR="00660969" w:rsidRPr="00051735" w:rsidRDefault="00DC380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051735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5815" w:type="dxa"/>
          </w:tcPr>
          <w:p w14:paraId="53EBDA23" w14:textId="77777777" w:rsidR="00660969" w:rsidRDefault="00DC380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051735">
              <w:rPr>
                <w:bCs/>
                <w:iCs/>
                <w:sz w:val="24"/>
                <w:szCs w:val="24"/>
              </w:rPr>
              <w:t>2020</w:t>
            </w:r>
            <w:r w:rsidRPr="00051735">
              <w:rPr>
                <w:bCs/>
                <w:iCs/>
                <w:sz w:val="24"/>
                <w:szCs w:val="24"/>
              </w:rPr>
              <w:t>年</w:t>
            </w:r>
            <w:r w:rsidRPr="00051735">
              <w:rPr>
                <w:bCs/>
                <w:iCs/>
                <w:sz w:val="24"/>
                <w:szCs w:val="24"/>
              </w:rPr>
              <w:t>5</w:t>
            </w:r>
            <w:r w:rsidRPr="00051735">
              <w:rPr>
                <w:bCs/>
                <w:iCs/>
                <w:sz w:val="24"/>
                <w:szCs w:val="24"/>
              </w:rPr>
              <w:t>月</w:t>
            </w:r>
            <w:r w:rsidRPr="00051735">
              <w:rPr>
                <w:bCs/>
                <w:iCs/>
                <w:sz w:val="24"/>
                <w:szCs w:val="24"/>
              </w:rPr>
              <w:t>18</w:t>
            </w:r>
            <w:r w:rsidRPr="00051735"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14:paraId="495107AC" w14:textId="77777777" w:rsidR="00660969" w:rsidRDefault="00660969"/>
    <w:sectPr w:rsidR="00660969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E2868" w14:textId="77777777" w:rsidR="005209ED" w:rsidRDefault="005209ED">
      <w:r>
        <w:separator/>
      </w:r>
    </w:p>
  </w:endnote>
  <w:endnote w:type="continuationSeparator" w:id="0">
    <w:p w14:paraId="302318D2" w14:textId="77777777" w:rsidR="005209ED" w:rsidRDefault="0052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751F1" w14:textId="77777777" w:rsidR="005209ED" w:rsidRDefault="005209ED">
      <w:r>
        <w:separator/>
      </w:r>
    </w:p>
  </w:footnote>
  <w:footnote w:type="continuationSeparator" w:id="0">
    <w:p w14:paraId="35959C80" w14:textId="77777777" w:rsidR="005209ED" w:rsidRDefault="00520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1487E" w14:textId="77777777" w:rsidR="00660969" w:rsidRDefault="00660969">
    <w:pPr>
      <w:pStyle w:val="aa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FB748C8E"/>
    <w:rsid w:val="000031EC"/>
    <w:rsid w:val="00013519"/>
    <w:rsid w:val="00033068"/>
    <w:rsid w:val="00033BBE"/>
    <w:rsid w:val="00034320"/>
    <w:rsid w:val="00036EA0"/>
    <w:rsid w:val="00043006"/>
    <w:rsid w:val="00050085"/>
    <w:rsid w:val="00051735"/>
    <w:rsid w:val="0006438A"/>
    <w:rsid w:val="000646B5"/>
    <w:rsid w:val="00074F44"/>
    <w:rsid w:val="00090DC2"/>
    <w:rsid w:val="00093E5A"/>
    <w:rsid w:val="00095929"/>
    <w:rsid w:val="000A043F"/>
    <w:rsid w:val="000A1459"/>
    <w:rsid w:val="000A1EFA"/>
    <w:rsid w:val="000A5F67"/>
    <w:rsid w:val="000B4C95"/>
    <w:rsid w:val="000B5679"/>
    <w:rsid w:val="000D37A1"/>
    <w:rsid w:val="000D67FF"/>
    <w:rsid w:val="000E2817"/>
    <w:rsid w:val="000E2B7D"/>
    <w:rsid w:val="000E3050"/>
    <w:rsid w:val="000F5665"/>
    <w:rsid w:val="000F7CC5"/>
    <w:rsid w:val="00103676"/>
    <w:rsid w:val="001109AF"/>
    <w:rsid w:val="001161D3"/>
    <w:rsid w:val="001241C9"/>
    <w:rsid w:val="00133EE8"/>
    <w:rsid w:val="00136158"/>
    <w:rsid w:val="001364E4"/>
    <w:rsid w:val="0013757D"/>
    <w:rsid w:val="0014025B"/>
    <w:rsid w:val="001407CC"/>
    <w:rsid w:val="00150C84"/>
    <w:rsid w:val="0015463D"/>
    <w:rsid w:val="00163783"/>
    <w:rsid w:val="00164B9B"/>
    <w:rsid w:val="00166F04"/>
    <w:rsid w:val="00172A27"/>
    <w:rsid w:val="001850DF"/>
    <w:rsid w:val="00190CD4"/>
    <w:rsid w:val="001A0A70"/>
    <w:rsid w:val="001A420D"/>
    <w:rsid w:val="001A49B6"/>
    <w:rsid w:val="001B0AB4"/>
    <w:rsid w:val="001B2966"/>
    <w:rsid w:val="001B2CBC"/>
    <w:rsid w:val="001B5686"/>
    <w:rsid w:val="001C029F"/>
    <w:rsid w:val="001C4582"/>
    <w:rsid w:val="001D215E"/>
    <w:rsid w:val="001D397A"/>
    <w:rsid w:val="001D5383"/>
    <w:rsid w:val="001E065F"/>
    <w:rsid w:val="001E2099"/>
    <w:rsid w:val="001F0180"/>
    <w:rsid w:val="001F5A26"/>
    <w:rsid w:val="002049D9"/>
    <w:rsid w:val="002156D6"/>
    <w:rsid w:val="00215F0A"/>
    <w:rsid w:val="00221633"/>
    <w:rsid w:val="00222ABB"/>
    <w:rsid w:val="00231362"/>
    <w:rsid w:val="00233A29"/>
    <w:rsid w:val="00233BB1"/>
    <w:rsid w:val="0024236E"/>
    <w:rsid w:val="002507C1"/>
    <w:rsid w:val="00255686"/>
    <w:rsid w:val="00255FA9"/>
    <w:rsid w:val="00266819"/>
    <w:rsid w:val="00272398"/>
    <w:rsid w:val="00274B4E"/>
    <w:rsid w:val="00277F15"/>
    <w:rsid w:val="00281AC3"/>
    <w:rsid w:val="00281DA4"/>
    <w:rsid w:val="00282163"/>
    <w:rsid w:val="002879CB"/>
    <w:rsid w:val="0029235F"/>
    <w:rsid w:val="002B4405"/>
    <w:rsid w:val="002B5D77"/>
    <w:rsid w:val="002C427A"/>
    <w:rsid w:val="002D6DD8"/>
    <w:rsid w:val="002E62E2"/>
    <w:rsid w:val="002E6329"/>
    <w:rsid w:val="002E6CB1"/>
    <w:rsid w:val="003161F7"/>
    <w:rsid w:val="00331839"/>
    <w:rsid w:val="003346B6"/>
    <w:rsid w:val="00337B30"/>
    <w:rsid w:val="00340888"/>
    <w:rsid w:val="0034313D"/>
    <w:rsid w:val="00350EDB"/>
    <w:rsid w:val="0035150E"/>
    <w:rsid w:val="003523B1"/>
    <w:rsid w:val="00355FF0"/>
    <w:rsid w:val="003560D9"/>
    <w:rsid w:val="003577F6"/>
    <w:rsid w:val="00364A3B"/>
    <w:rsid w:val="00367FAA"/>
    <w:rsid w:val="00377CE9"/>
    <w:rsid w:val="00381347"/>
    <w:rsid w:val="00381B39"/>
    <w:rsid w:val="0038328A"/>
    <w:rsid w:val="00383652"/>
    <w:rsid w:val="00390408"/>
    <w:rsid w:val="003A1837"/>
    <w:rsid w:val="003A3004"/>
    <w:rsid w:val="003A6E2C"/>
    <w:rsid w:val="003B1C6A"/>
    <w:rsid w:val="003C01A7"/>
    <w:rsid w:val="003D5F9E"/>
    <w:rsid w:val="003E2E24"/>
    <w:rsid w:val="003E6252"/>
    <w:rsid w:val="003F556D"/>
    <w:rsid w:val="00405BE7"/>
    <w:rsid w:val="004135EA"/>
    <w:rsid w:val="00425C6A"/>
    <w:rsid w:val="00426FC3"/>
    <w:rsid w:val="004317D3"/>
    <w:rsid w:val="00432672"/>
    <w:rsid w:val="004355F1"/>
    <w:rsid w:val="004465C5"/>
    <w:rsid w:val="00447553"/>
    <w:rsid w:val="00453526"/>
    <w:rsid w:val="00466B8F"/>
    <w:rsid w:val="004741DD"/>
    <w:rsid w:val="00475CA0"/>
    <w:rsid w:val="00477613"/>
    <w:rsid w:val="004803E7"/>
    <w:rsid w:val="00480E1C"/>
    <w:rsid w:val="00482D78"/>
    <w:rsid w:val="004831A0"/>
    <w:rsid w:val="00483322"/>
    <w:rsid w:val="0049089A"/>
    <w:rsid w:val="0049134B"/>
    <w:rsid w:val="00493AB8"/>
    <w:rsid w:val="0049672A"/>
    <w:rsid w:val="004A32E2"/>
    <w:rsid w:val="004A4198"/>
    <w:rsid w:val="004A577E"/>
    <w:rsid w:val="004B167B"/>
    <w:rsid w:val="004B6DD9"/>
    <w:rsid w:val="004B7723"/>
    <w:rsid w:val="004C4A25"/>
    <w:rsid w:val="004D4FE1"/>
    <w:rsid w:val="004E1B44"/>
    <w:rsid w:val="004E69A3"/>
    <w:rsid w:val="004F1B78"/>
    <w:rsid w:val="004F7BE5"/>
    <w:rsid w:val="00515D22"/>
    <w:rsid w:val="00516AB7"/>
    <w:rsid w:val="00517B20"/>
    <w:rsid w:val="00517E9F"/>
    <w:rsid w:val="005209ED"/>
    <w:rsid w:val="0055369F"/>
    <w:rsid w:val="00554DEA"/>
    <w:rsid w:val="005935CE"/>
    <w:rsid w:val="005A0F1B"/>
    <w:rsid w:val="005A4390"/>
    <w:rsid w:val="005A72AB"/>
    <w:rsid w:val="005B2393"/>
    <w:rsid w:val="005B23AC"/>
    <w:rsid w:val="005B2C37"/>
    <w:rsid w:val="005B4B41"/>
    <w:rsid w:val="005B56FC"/>
    <w:rsid w:val="005C3028"/>
    <w:rsid w:val="005C5949"/>
    <w:rsid w:val="005D0962"/>
    <w:rsid w:val="005D0D03"/>
    <w:rsid w:val="005D5661"/>
    <w:rsid w:val="005D6FA6"/>
    <w:rsid w:val="005E07C2"/>
    <w:rsid w:val="005E1396"/>
    <w:rsid w:val="005E1A38"/>
    <w:rsid w:val="005E3D5B"/>
    <w:rsid w:val="00600FF5"/>
    <w:rsid w:val="006053C4"/>
    <w:rsid w:val="00635101"/>
    <w:rsid w:val="00640B5C"/>
    <w:rsid w:val="0064596E"/>
    <w:rsid w:val="00650BB8"/>
    <w:rsid w:val="006608E6"/>
    <w:rsid w:val="00660969"/>
    <w:rsid w:val="00662DA7"/>
    <w:rsid w:val="00663D54"/>
    <w:rsid w:val="00665878"/>
    <w:rsid w:val="0067431E"/>
    <w:rsid w:val="00685C92"/>
    <w:rsid w:val="006C1216"/>
    <w:rsid w:val="006C3D1D"/>
    <w:rsid w:val="006C5077"/>
    <w:rsid w:val="006C7C5F"/>
    <w:rsid w:val="006D0255"/>
    <w:rsid w:val="006D2CFA"/>
    <w:rsid w:val="006D5329"/>
    <w:rsid w:val="006E070F"/>
    <w:rsid w:val="006E4F9A"/>
    <w:rsid w:val="006F397F"/>
    <w:rsid w:val="006F52ED"/>
    <w:rsid w:val="007066C1"/>
    <w:rsid w:val="0072479C"/>
    <w:rsid w:val="007261D9"/>
    <w:rsid w:val="00733EF3"/>
    <w:rsid w:val="00737664"/>
    <w:rsid w:val="00751CC1"/>
    <w:rsid w:val="00755EDB"/>
    <w:rsid w:val="007575F6"/>
    <w:rsid w:val="0076092E"/>
    <w:rsid w:val="00766D10"/>
    <w:rsid w:val="007710A6"/>
    <w:rsid w:val="00783653"/>
    <w:rsid w:val="00787CFE"/>
    <w:rsid w:val="007942D6"/>
    <w:rsid w:val="00794B98"/>
    <w:rsid w:val="007A0441"/>
    <w:rsid w:val="007A6845"/>
    <w:rsid w:val="007B3413"/>
    <w:rsid w:val="007B369D"/>
    <w:rsid w:val="007C64AC"/>
    <w:rsid w:val="007D02AA"/>
    <w:rsid w:val="007D2CE7"/>
    <w:rsid w:val="007D5F1C"/>
    <w:rsid w:val="007F1AB2"/>
    <w:rsid w:val="007F648B"/>
    <w:rsid w:val="00801D92"/>
    <w:rsid w:val="00812BE8"/>
    <w:rsid w:val="00813446"/>
    <w:rsid w:val="00814DF1"/>
    <w:rsid w:val="00822A02"/>
    <w:rsid w:val="0082537D"/>
    <w:rsid w:val="00830302"/>
    <w:rsid w:val="00830C97"/>
    <w:rsid w:val="00832106"/>
    <w:rsid w:val="00833A3C"/>
    <w:rsid w:val="00836622"/>
    <w:rsid w:val="00837B24"/>
    <w:rsid w:val="00837FF0"/>
    <w:rsid w:val="008432B2"/>
    <w:rsid w:val="00844C89"/>
    <w:rsid w:val="00845F88"/>
    <w:rsid w:val="00851994"/>
    <w:rsid w:val="008567F3"/>
    <w:rsid w:val="00861D89"/>
    <w:rsid w:val="008668F5"/>
    <w:rsid w:val="00872572"/>
    <w:rsid w:val="00875388"/>
    <w:rsid w:val="008769E8"/>
    <w:rsid w:val="00876EF5"/>
    <w:rsid w:val="008904F3"/>
    <w:rsid w:val="00892895"/>
    <w:rsid w:val="00895C2E"/>
    <w:rsid w:val="008B356C"/>
    <w:rsid w:val="008C362E"/>
    <w:rsid w:val="008C5EF5"/>
    <w:rsid w:val="008E178F"/>
    <w:rsid w:val="008E6C20"/>
    <w:rsid w:val="008E7785"/>
    <w:rsid w:val="008E7B81"/>
    <w:rsid w:val="008F2B68"/>
    <w:rsid w:val="008F7426"/>
    <w:rsid w:val="00901F76"/>
    <w:rsid w:val="0090474D"/>
    <w:rsid w:val="00917F96"/>
    <w:rsid w:val="00927622"/>
    <w:rsid w:val="00930A04"/>
    <w:rsid w:val="00940495"/>
    <w:rsid w:val="00955132"/>
    <w:rsid w:val="0095556F"/>
    <w:rsid w:val="009559C7"/>
    <w:rsid w:val="00982EE3"/>
    <w:rsid w:val="00984E7F"/>
    <w:rsid w:val="00985036"/>
    <w:rsid w:val="00992C8D"/>
    <w:rsid w:val="009964FF"/>
    <w:rsid w:val="009A03FC"/>
    <w:rsid w:val="009A22B9"/>
    <w:rsid w:val="009A3C04"/>
    <w:rsid w:val="009B0253"/>
    <w:rsid w:val="009B3519"/>
    <w:rsid w:val="009B3BB0"/>
    <w:rsid w:val="009C584E"/>
    <w:rsid w:val="009C74E9"/>
    <w:rsid w:val="009D2545"/>
    <w:rsid w:val="009D7600"/>
    <w:rsid w:val="009E5289"/>
    <w:rsid w:val="009E5B88"/>
    <w:rsid w:val="00A028B8"/>
    <w:rsid w:val="00A03466"/>
    <w:rsid w:val="00A0573C"/>
    <w:rsid w:val="00A100F9"/>
    <w:rsid w:val="00A127FD"/>
    <w:rsid w:val="00A145E9"/>
    <w:rsid w:val="00A20B46"/>
    <w:rsid w:val="00A23E32"/>
    <w:rsid w:val="00A3162E"/>
    <w:rsid w:val="00A32D60"/>
    <w:rsid w:val="00A34463"/>
    <w:rsid w:val="00A438C8"/>
    <w:rsid w:val="00A46C69"/>
    <w:rsid w:val="00A61D74"/>
    <w:rsid w:val="00A63587"/>
    <w:rsid w:val="00A657BD"/>
    <w:rsid w:val="00A67113"/>
    <w:rsid w:val="00A733FA"/>
    <w:rsid w:val="00A82A69"/>
    <w:rsid w:val="00A96501"/>
    <w:rsid w:val="00AA346F"/>
    <w:rsid w:val="00AA620E"/>
    <w:rsid w:val="00AA62CC"/>
    <w:rsid w:val="00AC6EED"/>
    <w:rsid w:val="00AD59A9"/>
    <w:rsid w:val="00AD6DD7"/>
    <w:rsid w:val="00B10041"/>
    <w:rsid w:val="00B15C03"/>
    <w:rsid w:val="00B21D8B"/>
    <w:rsid w:val="00B23449"/>
    <w:rsid w:val="00B325B2"/>
    <w:rsid w:val="00B3318B"/>
    <w:rsid w:val="00B352FA"/>
    <w:rsid w:val="00B37C6B"/>
    <w:rsid w:val="00B75983"/>
    <w:rsid w:val="00B808DD"/>
    <w:rsid w:val="00B81469"/>
    <w:rsid w:val="00B84F98"/>
    <w:rsid w:val="00B93240"/>
    <w:rsid w:val="00B94104"/>
    <w:rsid w:val="00B97888"/>
    <w:rsid w:val="00BA0959"/>
    <w:rsid w:val="00BA3FE5"/>
    <w:rsid w:val="00BA7A88"/>
    <w:rsid w:val="00BB1A97"/>
    <w:rsid w:val="00BC3B14"/>
    <w:rsid w:val="00BC76EF"/>
    <w:rsid w:val="00BD1ECB"/>
    <w:rsid w:val="00BD7BFD"/>
    <w:rsid w:val="00BD7CAF"/>
    <w:rsid w:val="00BF1A00"/>
    <w:rsid w:val="00BF4EBE"/>
    <w:rsid w:val="00BF7A49"/>
    <w:rsid w:val="00BF7CFB"/>
    <w:rsid w:val="00C04404"/>
    <w:rsid w:val="00C04A43"/>
    <w:rsid w:val="00C0592C"/>
    <w:rsid w:val="00C0725B"/>
    <w:rsid w:val="00C076CB"/>
    <w:rsid w:val="00C10DB6"/>
    <w:rsid w:val="00C15763"/>
    <w:rsid w:val="00C16F1A"/>
    <w:rsid w:val="00C23239"/>
    <w:rsid w:val="00C251B8"/>
    <w:rsid w:val="00C26A38"/>
    <w:rsid w:val="00C30155"/>
    <w:rsid w:val="00C320C7"/>
    <w:rsid w:val="00C35DAE"/>
    <w:rsid w:val="00C37F77"/>
    <w:rsid w:val="00C47B19"/>
    <w:rsid w:val="00C513CC"/>
    <w:rsid w:val="00C52E44"/>
    <w:rsid w:val="00C54DBC"/>
    <w:rsid w:val="00C5698F"/>
    <w:rsid w:val="00C57491"/>
    <w:rsid w:val="00C63327"/>
    <w:rsid w:val="00C65F4F"/>
    <w:rsid w:val="00C6719D"/>
    <w:rsid w:val="00C76D2B"/>
    <w:rsid w:val="00C83D63"/>
    <w:rsid w:val="00C83DF1"/>
    <w:rsid w:val="00C86795"/>
    <w:rsid w:val="00C91F3E"/>
    <w:rsid w:val="00CA1EAB"/>
    <w:rsid w:val="00CA2B57"/>
    <w:rsid w:val="00CA3F87"/>
    <w:rsid w:val="00CA5F97"/>
    <w:rsid w:val="00CB1138"/>
    <w:rsid w:val="00CB4FE3"/>
    <w:rsid w:val="00CB5C22"/>
    <w:rsid w:val="00CC4404"/>
    <w:rsid w:val="00CD2A1E"/>
    <w:rsid w:val="00CE49BD"/>
    <w:rsid w:val="00CE71DA"/>
    <w:rsid w:val="00D05DBA"/>
    <w:rsid w:val="00D22730"/>
    <w:rsid w:val="00D2334E"/>
    <w:rsid w:val="00D334FE"/>
    <w:rsid w:val="00D46E1E"/>
    <w:rsid w:val="00D47B5E"/>
    <w:rsid w:val="00D5162D"/>
    <w:rsid w:val="00D53236"/>
    <w:rsid w:val="00D605BD"/>
    <w:rsid w:val="00D6237D"/>
    <w:rsid w:val="00D74ADD"/>
    <w:rsid w:val="00D842DB"/>
    <w:rsid w:val="00D847FC"/>
    <w:rsid w:val="00D909FD"/>
    <w:rsid w:val="00D9620F"/>
    <w:rsid w:val="00D96478"/>
    <w:rsid w:val="00DA1CCF"/>
    <w:rsid w:val="00DA26B2"/>
    <w:rsid w:val="00DB6759"/>
    <w:rsid w:val="00DB6EE0"/>
    <w:rsid w:val="00DC1131"/>
    <w:rsid w:val="00DC3806"/>
    <w:rsid w:val="00DC4B38"/>
    <w:rsid w:val="00DC6739"/>
    <w:rsid w:val="00DD4EFC"/>
    <w:rsid w:val="00DD7A42"/>
    <w:rsid w:val="00DE24BB"/>
    <w:rsid w:val="00DE351A"/>
    <w:rsid w:val="00DF2171"/>
    <w:rsid w:val="00DF228E"/>
    <w:rsid w:val="00DF79E6"/>
    <w:rsid w:val="00E0357D"/>
    <w:rsid w:val="00E05C62"/>
    <w:rsid w:val="00E06420"/>
    <w:rsid w:val="00E16715"/>
    <w:rsid w:val="00E17396"/>
    <w:rsid w:val="00E257A3"/>
    <w:rsid w:val="00E33860"/>
    <w:rsid w:val="00E434B4"/>
    <w:rsid w:val="00E5115B"/>
    <w:rsid w:val="00E600E7"/>
    <w:rsid w:val="00E73231"/>
    <w:rsid w:val="00E773AC"/>
    <w:rsid w:val="00E83656"/>
    <w:rsid w:val="00E87F69"/>
    <w:rsid w:val="00E943BA"/>
    <w:rsid w:val="00E96858"/>
    <w:rsid w:val="00EA46A7"/>
    <w:rsid w:val="00EB5052"/>
    <w:rsid w:val="00EC2520"/>
    <w:rsid w:val="00ED0E94"/>
    <w:rsid w:val="00ED6255"/>
    <w:rsid w:val="00ED6857"/>
    <w:rsid w:val="00EF55FC"/>
    <w:rsid w:val="00F16C2A"/>
    <w:rsid w:val="00F17069"/>
    <w:rsid w:val="00F22D10"/>
    <w:rsid w:val="00F31F32"/>
    <w:rsid w:val="00F334A0"/>
    <w:rsid w:val="00F40664"/>
    <w:rsid w:val="00F41BA8"/>
    <w:rsid w:val="00F4212D"/>
    <w:rsid w:val="00F443CF"/>
    <w:rsid w:val="00F50B30"/>
    <w:rsid w:val="00F51A60"/>
    <w:rsid w:val="00F53092"/>
    <w:rsid w:val="00F53DCB"/>
    <w:rsid w:val="00F70A2E"/>
    <w:rsid w:val="00F72A87"/>
    <w:rsid w:val="00F7524D"/>
    <w:rsid w:val="00F75720"/>
    <w:rsid w:val="00F76344"/>
    <w:rsid w:val="00F83A27"/>
    <w:rsid w:val="00F862B2"/>
    <w:rsid w:val="00F903A2"/>
    <w:rsid w:val="00F942C3"/>
    <w:rsid w:val="00FA018B"/>
    <w:rsid w:val="00FB2A9A"/>
    <w:rsid w:val="00FC3DF7"/>
    <w:rsid w:val="00FD5DE8"/>
    <w:rsid w:val="00FE1FF8"/>
    <w:rsid w:val="00FE3E30"/>
    <w:rsid w:val="00FE502E"/>
    <w:rsid w:val="00FF4C9C"/>
    <w:rsid w:val="018C22E1"/>
    <w:rsid w:val="01D00199"/>
    <w:rsid w:val="04981D80"/>
    <w:rsid w:val="0C483BD9"/>
    <w:rsid w:val="14EC5E93"/>
    <w:rsid w:val="1B096BA9"/>
    <w:rsid w:val="1C732D8B"/>
    <w:rsid w:val="21AE7EE8"/>
    <w:rsid w:val="21BF74EF"/>
    <w:rsid w:val="22956A32"/>
    <w:rsid w:val="27336568"/>
    <w:rsid w:val="28D266C7"/>
    <w:rsid w:val="2C3F48AC"/>
    <w:rsid w:val="2C484761"/>
    <w:rsid w:val="2FE3257E"/>
    <w:rsid w:val="31631222"/>
    <w:rsid w:val="37D3757F"/>
    <w:rsid w:val="3BBE6F29"/>
    <w:rsid w:val="3F114B82"/>
    <w:rsid w:val="42963825"/>
    <w:rsid w:val="52501378"/>
    <w:rsid w:val="526C2F4A"/>
    <w:rsid w:val="57FF3702"/>
    <w:rsid w:val="6007192C"/>
    <w:rsid w:val="60877FFA"/>
    <w:rsid w:val="6329744A"/>
    <w:rsid w:val="69E74D3E"/>
    <w:rsid w:val="6A527027"/>
    <w:rsid w:val="7137340A"/>
    <w:rsid w:val="7BBC4A81"/>
    <w:rsid w:val="7F6E5B6C"/>
    <w:rsid w:val="7FB0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C23C69"/>
  <w15:docId w15:val="{177915DB-1059-45B8-AFAC-5B62FBF5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page number"/>
    <w:basedOn w:val="a0"/>
    <w:qFormat/>
  </w:style>
  <w:style w:type="character" w:styleId="ad">
    <w:name w:val="annotation reference"/>
    <w:qFormat/>
    <w:rPr>
      <w:sz w:val="21"/>
      <w:szCs w:val="21"/>
    </w:rPr>
  </w:style>
  <w:style w:type="paragraph" w:customStyle="1" w:styleId="Style10">
    <w:name w:val="_Style 10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character" w:customStyle="1" w:styleId="a5">
    <w:name w:val="批注主题 字符"/>
    <w:link w:val="a3"/>
    <w:qFormat/>
    <w:rPr>
      <w:b/>
      <w:bCs/>
      <w:kern w:val="2"/>
      <w:sz w:val="21"/>
    </w:rPr>
  </w:style>
  <w:style w:type="character" w:customStyle="1" w:styleId="a6">
    <w:name w:val="批注文字 字符"/>
    <w:link w:val="a4"/>
    <w:qFormat/>
    <w:rPr>
      <w:kern w:val="2"/>
      <w:sz w:val="21"/>
    </w:rPr>
  </w:style>
  <w:style w:type="character" w:customStyle="1" w:styleId="a8">
    <w:name w:val="批注框文本 字符"/>
    <w:link w:val="a7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customStyle="1" w:styleId="10">
    <w:name w:val="修订1"/>
    <w:hidden/>
    <w:uiPriority w:val="99"/>
    <w:semiHidden/>
    <w:rPr>
      <w:kern w:val="2"/>
      <w:sz w:val="21"/>
    </w:rPr>
  </w:style>
  <w:style w:type="character" w:customStyle="1" w:styleId="customer">
    <w:name w:val="customer"/>
    <w:basedOn w:val="a0"/>
  </w:style>
  <w:style w:type="character" w:customStyle="1" w:styleId="company">
    <w:name w:val="company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1283</Characters>
  <Application>Microsoft Office Word</Application>
  <DocSecurity>0</DocSecurity>
  <Lines>10</Lines>
  <Paragraphs>3</Paragraphs>
  <ScaleCrop>false</ScaleCrop>
  <Company>微软中国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creator>Administrator</dc:creator>
  <cp:lastModifiedBy>xingwenwen@muyuanfoods.com</cp:lastModifiedBy>
  <cp:revision>5</cp:revision>
  <dcterms:created xsi:type="dcterms:W3CDTF">2020-05-18T15:01:00Z</dcterms:created>
  <dcterms:modified xsi:type="dcterms:W3CDTF">2020-05-18T15:40:00Z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