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4417"/>
        <w:gridCol w:w="4417"/>
      </w:tblGrid>
      <w:tr w:rsidR="00E9004C" w:rsidRPr="007D5F7F" w:rsidTr="007D5F7F">
        <w:trPr>
          <w:jc w:val="center"/>
        </w:trPr>
        <w:tc>
          <w:tcPr>
            <w:tcW w:w="4417" w:type="dxa"/>
            <w:shd w:val="clear" w:color="auto" w:fill="auto"/>
          </w:tcPr>
          <w:p w:rsidR="00E9004C" w:rsidRPr="007D5F7F" w:rsidRDefault="00E9004C" w:rsidP="007D5F7F">
            <w:pPr>
              <w:spacing w:beforeLines="50" w:before="156" w:afterLines="50" w:after="156" w:line="400" w:lineRule="exact"/>
              <w:jc w:val="center"/>
              <w:rPr>
                <w:rFonts w:ascii="宋体" w:hAnsi="宋体"/>
                <w:bCs/>
                <w:iCs/>
                <w:sz w:val="24"/>
              </w:rPr>
            </w:pPr>
            <w:r w:rsidRPr="007D5F7F">
              <w:rPr>
                <w:rFonts w:ascii="宋体" w:hAnsi="宋体" w:hint="eastAsia"/>
                <w:bCs/>
                <w:iCs/>
                <w:sz w:val="24"/>
              </w:rPr>
              <w:t>证券代码：002714</w:t>
            </w:r>
          </w:p>
        </w:tc>
        <w:tc>
          <w:tcPr>
            <w:tcW w:w="4417" w:type="dxa"/>
            <w:shd w:val="clear" w:color="auto" w:fill="auto"/>
          </w:tcPr>
          <w:p w:rsidR="00E9004C" w:rsidRPr="007D5F7F" w:rsidRDefault="00E9004C" w:rsidP="007D5F7F">
            <w:pPr>
              <w:spacing w:beforeLines="50" w:before="156" w:afterLines="50" w:after="156" w:line="400" w:lineRule="exact"/>
              <w:jc w:val="center"/>
              <w:rPr>
                <w:rFonts w:ascii="宋体" w:hAnsi="宋体"/>
                <w:bCs/>
                <w:iCs/>
                <w:sz w:val="24"/>
              </w:rPr>
            </w:pPr>
            <w:r w:rsidRPr="007D5F7F">
              <w:rPr>
                <w:rFonts w:ascii="宋体" w:hAnsi="宋体" w:hint="eastAsia"/>
                <w:bCs/>
                <w:iCs/>
                <w:sz w:val="24"/>
              </w:rPr>
              <w:t>证券简称：牧原股份</w:t>
            </w:r>
          </w:p>
        </w:tc>
      </w:tr>
    </w:tbl>
    <w:p w:rsidR="003921CD" w:rsidRPr="00F36D18" w:rsidRDefault="003921CD" w:rsidP="002644E9">
      <w:pPr>
        <w:spacing w:beforeLines="50" w:before="156" w:afterLines="50" w:after="156" w:line="400" w:lineRule="exact"/>
        <w:ind w:firstLineChars="300" w:firstLine="720"/>
        <w:rPr>
          <w:rFonts w:ascii="宋体" w:hAnsi="宋体"/>
          <w:bCs/>
          <w:iCs/>
          <w:sz w:val="24"/>
        </w:rPr>
      </w:pPr>
    </w:p>
    <w:p w:rsidR="00953847" w:rsidRDefault="003921CD" w:rsidP="002644E9">
      <w:pPr>
        <w:spacing w:beforeLines="50" w:before="156" w:afterLines="50" w:after="156" w:line="400" w:lineRule="exact"/>
        <w:jc w:val="center"/>
        <w:rPr>
          <w:rFonts w:ascii="宋体" w:hAnsi="宋体"/>
          <w:b/>
          <w:bCs/>
          <w:iCs/>
          <w:sz w:val="36"/>
          <w:szCs w:val="24"/>
        </w:rPr>
      </w:pPr>
      <w:r w:rsidRPr="00953847">
        <w:rPr>
          <w:rFonts w:ascii="宋体" w:hAnsi="宋体" w:hint="eastAsia"/>
          <w:b/>
          <w:bCs/>
          <w:iCs/>
          <w:sz w:val="36"/>
          <w:szCs w:val="24"/>
        </w:rPr>
        <w:t>牧原食品股份有限公司</w:t>
      </w:r>
    </w:p>
    <w:p w:rsidR="003921CD" w:rsidRPr="00953847" w:rsidRDefault="001A4468" w:rsidP="002644E9">
      <w:pPr>
        <w:spacing w:beforeLines="50" w:before="156" w:afterLines="50" w:after="156" w:line="400" w:lineRule="exact"/>
        <w:jc w:val="center"/>
        <w:rPr>
          <w:rFonts w:ascii="宋体" w:hAnsi="宋体"/>
          <w:b/>
          <w:bCs/>
          <w:iCs/>
          <w:sz w:val="36"/>
          <w:szCs w:val="24"/>
        </w:rPr>
      </w:pPr>
      <w:r w:rsidRPr="00953847">
        <w:rPr>
          <w:rFonts w:ascii="宋体" w:hAnsi="宋体" w:hint="eastAsia"/>
          <w:b/>
          <w:bCs/>
          <w:iCs/>
          <w:sz w:val="36"/>
          <w:szCs w:val="24"/>
        </w:rPr>
        <w:t>调研</w:t>
      </w:r>
      <w:r w:rsidR="003921CD" w:rsidRPr="00953847">
        <w:rPr>
          <w:rFonts w:ascii="宋体" w:hAnsi="宋体" w:hint="eastAsia"/>
          <w:b/>
          <w:bCs/>
          <w:iCs/>
          <w:sz w:val="36"/>
          <w:szCs w:val="24"/>
        </w:rPr>
        <w:t>活动记录表</w:t>
      </w:r>
    </w:p>
    <w:p w:rsidR="003921CD" w:rsidRPr="00F7661A" w:rsidRDefault="003921CD" w:rsidP="003921CD">
      <w:pPr>
        <w:spacing w:line="400" w:lineRule="exact"/>
        <w:rPr>
          <w:rFonts w:ascii="宋体" w:hAnsi="宋体"/>
          <w:bCs/>
          <w:iCs/>
          <w:sz w:val="24"/>
          <w:szCs w:val="24"/>
        </w:rPr>
      </w:pPr>
      <w:r w:rsidRPr="00F7661A">
        <w:rPr>
          <w:rFonts w:ascii="宋体" w:hAnsi="宋体" w:hint="eastAsia"/>
          <w:bCs/>
          <w:iCs/>
          <w:sz w:val="24"/>
          <w:szCs w:val="24"/>
        </w:rPr>
        <w:t xml:space="preserve">                                                      编号：</w:t>
      </w:r>
      <w:r w:rsidR="002644E9">
        <w:rPr>
          <w:rFonts w:ascii="宋体" w:hAnsi="宋体" w:hint="eastAsia"/>
          <w:bCs/>
          <w:iCs/>
          <w:sz w:val="24"/>
          <w:szCs w:val="24"/>
        </w:rPr>
        <w:t>2014-02</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6996"/>
      </w:tblGrid>
      <w:tr w:rsidR="003921CD" w:rsidRPr="00F7661A" w:rsidTr="002644E9">
        <w:tc>
          <w:tcPr>
            <w:tcW w:w="1702" w:type="dxa"/>
            <w:shd w:val="clear" w:color="auto" w:fill="auto"/>
          </w:tcPr>
          <w:p w:rsidR="003921CD" w:rsidRPr="00F7661A" w:rsidRDefault="003921CD" w:rsidP="004331F1">
            <w:pPr>
              <w:spacing w:line="480" w:lineRule="atLeast"/>
              <w:rPr>
                <w:rFonts w:ascii="宋体" w:hAnsi="宋体"/>
                <w:b/>
                <w:bCs/>
                <w:iCs/>
                <w:sz w:val="24"/>
                <w:szCs w:val="24"/>
              </w:rPr>
            </w:pPr>
            <w:r w:rsidRPr="00F7661A">
              <w:rPr>
                <w:rFonts w:ascii="宋体" w:hAnsi="宋体" w:hint="eastAsia"/>
                <w:b/>
                <w:bCs/>
                <w:iCs/>
                <w:sz w:val="24"/>
                <w:szCs w:val="24"/>
              </w:rPr>
              <w:t>投资者关系活动类别</w:t>
            </w:r>
          </w:p>
          <w:p w:rsidR="003921CD" w:rsidRPr="00F7661A" w:rsidRDefault="003921CD" w:rsidP="004331F1">
            <w:pPr>
              <w:spacing w:line="480" w:lineRule="atLeast"/>
              <w:rPr>
                <w:rFonts w:ascii="宋体" w:hAnsi="宋体"/>
                <w:b/>
                <w:bCs/>
                <w:iCs/>
                <w:sz w:val="24"/>
                <w:szCs w:val="24"/>
              </w:rPr>
            </w:pPr>
          </w:p>
        </w:tc>
        <w:tc>
          <w:tcPr>
            <w:tcW w:w="6996" w:type="dxa"/>
            <w:shd w:val="clear" w:color="auto" w:fill="auto"/>
          </w:tcPr>
          <w:p w:rsidR="003921CD" w:rsidRPr="00F7661A" w:rsidRDefault="002644E9" w:rsidP="004331F1">
            <w:pPr>
              <w:spacing w:line="480" w:lineRule="atLeast"/>
              <w:rPr>
                <w:rFonts w:ascii="宋体" w:hAnsi="宋体"/>
                <w:bCs/>
                <w:iCs/>
                <w:sz w:val="24"/>
                <w:szCs w:val="24"/>
              </w:rPr>
            </w:pPr>
            <w:r>
              <w:rPr>
                <w:rFonts w:ascii="宋体" w:hAnsi="宋体" w:hint="eastAsia"/>
                <w:bCs/>
                <w:iCs/>
                <w:sz w:val="24"/>
                <w:szCs w:val="24"/>
              </w:rPr>
              <w:t>√</w:t>
            </w:r>
            <w:r w:rsidR="003921CD" w:rsidRPr="00F7661A">
              <w:rPr>
                <w:rFonts w:ascii="宋体" w:hAnsi="宋体" w:hint="eastAsia"/>
                <w:sz w:val="24"/>
                <w:szCs w:val="24"/>
              </w:rPr>
              <w:t xml:space="preserve">特定对象调研        </w:t>
            </w:r>
            <w:r w:rsidR="003921CD" w:rsidRPr="00F7661A">
              <w:rPr>
                <w:rFonts w:ascii="宋体" w:hAnsi="宋体" w:hint="eastAsia"/>
                <w:bCs/>
                <w:iCs/>
                <w:sz w:val="24"/>
                <w:szCs w:val="24"/>
              </w:rPr>
              <w:t>□</w:t>
            </w:r>
            <w:r w:rsidR="003921CD" w:rsidRPr="00F7661A">
              <w:rPr>
                <w:rFonts w:ascii="宋体" w:hAnsi="宋体" w:hint="eastAsia"/>
                <w:sz w:val="24"/>
                <w:szCs w:val="24"/>
              </w:rPr>
              <w:t>分析师会议</w:t>
            </w:r>
          </w:p>
          <w:p w:rsidR="003921CD" w:rsidRPr="00F7661A" w:rsidRDefault="003921CD" w:rsidP="004331F1">
            <w:pPr>
              <w:spacing w:line="480" w:lineRule="atLeast"/>
              <w:rPr>
                <w:rFonts w:ascii="宋体" w:hAnsi="宋体"/>
                <w:bCs/>
                <w:iCs/>
                <w:sz w:val="24"/>
                <w:szCs w:val="24"/>
              </w:rPr>
            </w:pPr>
            <w:r w:rsidRPr="00F7661A">
              <w:rPr>
                <w:rFonts w:ascii="宋体" w:hAnsi="宋体" w:hint="eastAsia"/>
                <w:bCs/>
                <w:iCs/>
                <w:sz w:val="24"/>
                <w:szCs w:val="24"/>
              </w:rPr>
              <w:t>□</w:t>
            </w:r>
            <w:r w:rsidRPr="00F7661A">
              <w:rPr>
                <w:rFonts w:ascii="宋体" w:hAnsi="宋体" w:hint="eastAsia"/>
                <w:sz w:val="24"/>
                <w:szCs w:val="24"/>
              </w:rPr>
              <w:t xml:space="preserve">媒体采访            </w:t>
            </w:r>
            <w:r w:rsidRPr="00F7661A">
              <w:rPr>
                <w:rFonts w:ascii="宋体" w:hAnsi="宋体" w:hint="eastAsia"/>
                <w:bCs/>
                <w:iCs/>
                <w:sz w:val="24"/>
                <w:szCs w:val="24"/>
              </w:rPr>
              <w:t>□</w:t>
            </w:r>
            <w:r w:rsidRPr="00F7661A">
              <w:rPr>
                <w:rFonts w:ascii="宋体" w:hAnsi="宋体" w:hint="eastAsia"/>
                <w:sz w:val="24"/>
                <w:szCs w:val="24"/>
              </w:rPr>
              <w:t>业绩说明会</w:t>
            </w:r>
          </w:p>
          <w:p w:rsidR="003921CD" w:rsidRPr="00F7661A" w:rsidRDefault="003921CD" w:rsidP="004331F1">
            <w:pPr>
              <w:spacing w:line="480" w:lineRule="atLeast"/>
              <w:rPr>
                <w:rFonts w:ascii="宋体" w:hAnsi="宋体"/>
                <w:bCs/>
                <w:iCs/>
                <w:sz w:val="24"/>
                <w:szCs w:val="24"/>
              </w:rPr>
            </w:pPr>
            <w:r w:rsidRPr="00F7661A">
              <w:rPr>
                <w:rFonts w:ascii="宋体" w:hAnsi="宋体" w:hint="eastAsia"/>
                <w:bCs/>
                <w:iCs/>
                <w:sz w:val="24"/>
                <w:szCs w:val="24"/>
              </w:rPr>
              <w:t>□</w:t>
            </w:r>
            <w:r w:rsidRPr="00F7661A">
              <w:rPr>
                <w:rFonts w:ascii="宋体" w:hAnsi="宋体" w:hint="eastAsia"/>
                <w:sz w:val="24"/>
                <w:szCs w:val="24"/>
              </w:rPr>
              <w:t xml:space="preserve">新闻发布会          </w:t>
            </w:r>
            <w:r w:rsidRPr="00F7661A">
              <w:rPr>
                <w:rFonts w:ascii="宋体" w:hAnsi="宋体" w:hint="eastAsia"/>
                <w:bCs/>
                <w:iCs/>
                <w:sz w:val="24"/>
                <w:szCs w:val="24"/>
              </w:rPr>
              <w:t>□</w:t>
            </w:r>
            <w:r w:rsidRPr="00F7661A">
              <w:rPr>
                <w:rFonts w:ascii="宋体" w:hAnsi="宋体" w:hint="eastAsia"/>
                <w:sz w:val="24"/>
                <w:szCs w:val="24"/>
              </w:rPr>
              <w:t>路演活动</w:t>
            </w:r>
          </w:p>
          <w:p w:rsidR="003921CD" w:rsidRPr="00F7661A" w:rsidRDefault="003921CD" w:rsidP="004331F1">
            <w:pPr>
              <w:tabs>
                <w:tab w:val="left" w:pos="3045"/>
                <w:tab w:val="center" w:pos="3199"/>
              </w:tabs>
              <w:spacing w:line="480" w:lineRule="atLeast"/>
              <w:rPr>
                <w:rFonts w:ascii="宋体" w:hAnsi="宋体"/>
                <w:bCs/>
                <w:iCs/>
                <w:sz w:val="24"/>
                <w:szCs w:val="24"/>
              </w:rPr>
            </w:pPr>
            <w:r w:rsidRPr="00F7661A">
              <w:rPr>
                <w:rFonts w:ascii="宋体" w:hAnsi="宋体" w:hint="eastAsia"/>
                <w:bCs/>
                <w:iCs/>
                <w:sz w:val="24"/>
                <w:szCs w:val="24"/>
              </w:rPr>
              <w:t>□</w:t>
            </w:r>
            <w:r w:rsidRPr="00F7661A">
              <w:rPr>
                <w:rFonts w:ascii="宋体" w:hAnsi="宋体" w:hint="eastAsia"/>
                <w:sz w:val="24"/>
                <w:szCs w:val="24"/>
              </w:rPr>
              <w:t>现场参观</w:t>
            </w:r>
            <w:r w:rsidRPr="00F7661A">
              <w:rPr>
                <w:rFonts w:ascii="宋体" w:hAnsi="宋体"/>
                <w:bCs/>
                <w:iCs/>
                <w:sz w:val="24"/>
                <w:szCs w:val="24"/>
              </w:rPr>
              <w:tab/>
            </w:r>
          </w:p>
          <w:p w:rsidR="003921CD" w:rsidRPr="00F7661A" w:rsidRDefault="003921CD" w:rsidP="004331F1">
            <w:pPr>
              <w:tabs>
                <w:tab w:val="center" w:pos="3199"/>
              </w:tabs>
              <w:spacing w:line="480" w:lineRule="atLeast"/>
              <w:rPr>
                <w:rFonts w:ascii="宋体" w:hAnsi="宋体"/>
                <w:bCs/>
                <w:iCs/>
                <w:sz w:val="24"/>
                <w:szCs w:val="24"/>
              </w:rPr>
            </w:pPr>
            <w:r w:rsidRPr="00F7661A">
              <w:rPr>
                <w:rFonts w:ascii="宋体" w:hAnsi="宋体" w:hint="eastAsia"/>
                <w:bCs/>
                <w:iCs/>
                <w:sz w:val="24"/>
                <w:szCs w:val="24"/>
              </w:rPr>
              <w:t>□</w:t>
            </w:r>
            <w:r w:rsidRPr="00F7661A">
              <w:rPr>
                <w:rFonts w:ascii="宋体" w:hAnsi="宋体" w:hint="eastAsia"/>
                <w:sz w:val="24"/>
                <w:szCs w:val="24"/>
              </w:rPr>
              <w:t>其他 （</w:t>
            </w:r>
            <w:r w:rsidRPr="00F7661A">
              <w:rPr>
                <w:rFonts w:ascii="宋体" w:hAnsi="宋体" w:hint="eastAsia"/>
                <w:sz w:val="24"/>
                <w:szCs w:val="24"/>
                <w:u w:val="single"/>
              </w:rPr>
              <w:t>请文字说明其他活动内容）</w:t>
            </w:r>
          </w:p>
        </w:tc>
      </w:tr>
      <w:tr w:rsidR="003921CD" w:rsidRPr="00F7661A" w:rsidTr="002644E9">
        <w:tc>
          <w:tcPr>
            <w:tcW w:w="1702" w:type="dxa"/>
            <w:shd w:val="clear" w:color="auto" w:fill="auto"/>
          </w:tcPr>
          <w:p w:rsidR="003921CD" w:rsidRPr="00F7661A" w:rsidRDefault="003921CD" w:rsidP="004331F1">
            <w:pPr>
              <w:spacing w:line="480" w:lineRule="atLeast"/>
              <w:rPr>
                <w:rFonts w:ascii="宋体" w:hAnsi="宋体"/>
                <w:b/>
                <w:bCs/>
                <w:iCs/>
                <w:sz w:val="24"/>
                <w:szCs w:val="24"/>
              </w:rPr>
            </w:pPr>
            <w:r w:rsidRPr="00F7661A">
              <w:rPr>
                <w:rFonts w:ascii="宋体" w:hAnsi="宋体" w:hint="eastAsia"/>
                <w:b/>
                <w:bCs/>
                <w:iCs/>
                <w:sz w:val="24"/>
                <w:szCs w:val="24"/>
              </w:rPr>
              <w:t>参与单位名称及人员姓名</w:t>
            </w:r>
          </w:p>
        </w:tc>
        <w:tc>
          <w:tcPr>
            <w:tcW w:w="6996" w:type="dxa"/>
            <w:shd w:val="clear" w:color="auto" w:fill="auto"/>
          </w:tcPr>
          <w:p w:rsidR="003921CD" w:rsidRPr="00F7661A" w:rsidRDefault="002644E9" w:rsidP="00E9004C">
            <w:pPr>
              <w:spacing w:line="480" w:lineRule="atLeast"/>
              <w:rPr>
                <w:rFonts w:ascii="宋体" w:hAnsi="宋体"/>
                <w:bCs/>
                <w:iCs/>
                <w:sz w:val="24"/>
                <w:szCs w:val="24"/>
              </w:rPr>
            </w:pPr>
            <w:r>
              <w:rPr>
                <w:rFonts w:ascii="宋体" w:hAnsi="宋体" w:hint="eastAsia"/>
                <w:bCs/>
                <w:iCs/>
                <w:sz w:val="24"/>
                <w:szCs w:val="24"/>
              </w:rPr>
              <w:t>中原证券</w:t>
            </w:r>
          </w:p>
        </w:tc>
      </w:tr>
      <w:tr w:rsidR="003921CD" w:rsidRPr="00F7661A" w:rsidTr="002644E9">
        <w:tc>
          <w:tcPr>
            <w:tcW w:w="1702" w:type="dxa"/>
            <w:shd w:val="clear" w:color="auto" w:fill="auto"/>
          </w:tcPr>
          <w:p w:rsidR="003921CD" w:rsidRPr="00F7661A" w:rsidRDefault="003921CD" w:rsidP="004331F1">
            <w:pPr>
              <w:spacing w:line="480" w:lineRule="atLeast"/>
              <w:rPr>
                <w:rFonts w:ascii="宋体" w:hAnsi="宋体"/>
                <w:b/>
                <w:bCs/>
                <w:iCs/>
                <w:sz w:val="24"/>
                <w:szCs w:val="24"/>
              </w:rPr>
            </w:pPr>
            <w:r w:rsidRPr="00F7661A">
              <w:rPr>
                <w:rFonts w:ascii="宋体" w:hAnsi="宋体" w:hint="eastAsia"/>
                <w:b/>
                <w:bCs/>
                <w:iCs/>
                <w:sz w:val="24"/>
                <w:szCs w:val="24"/>
              </w:rPr>
              <w:t>时间</w:t>
            </w:r>
          </w:p>
        </w:tc>
        <w:tc>
          <w:tcPr>
            <w:tcW w:w="6996" w:type="dxa"/>
            <w:shd w:val="clear" w:color="auto" w:fill="auto"/>
          </w:tcPr>
          <w:p w:rsidR="003921CD" w:rsidRPr="00F7661A" w:rsidRDefault="002644E9" w:rsidP="004331F1">
            <w:pPr>
              <w:spacing w:line="480" w:lineRule="atLeast"/>
              <w:rPr>
                <w:rFonts w:ascii="宋体" w:hAnsi="宋体"/>
                <w:bCs/>
                <w:iCs/>
                <w:sz w:val="24"/>
                <w:szCs w:val="24"/>
              </w:rPr>
            </w:pPr>
            <w:r>
              <w:rPr>
                <w:rFonts w:ascii="宋体" w:hAnsi="宋体" w:hint="eastAsia"/>
                <w:bCs/>
                <w:iCs/>
                <w:sz w:val="24"/>
                <w:szCs w:val="24"/>
              </w:rPr>
              <w:t>2014.4.3</w:t>
            </w:r>
          </w:p>
        </w:tc>
      </w:tr>
      <w:tr w:rsidR="003921CD" w:rsidRPr="00F7661A" w:rsidTr="002644E9">
        <w:tc>
          <w:tcPr>
            <w:tcW w:w="1702" w:type="dxa"/>
            <w:shd w:val="clear" w:color="auto" w:fill="auto"/>
          </w:tcPr>
          <w:p w:rsidR="003921CD" w:rsidRPr="00F7661A" w:rsidRDefault="003921CD" w:rsidP="004331F1">
            <w:pPr>
              <w:spacing w:line="480" w:lineRule="atLeast"/>
              <w:rPr>
                <w:rFonts w:ascii="宋体" w:hAnsi="宋体"/>
                <w:b/>
                <w:bCs/>
                <w:iCs/>
                <w:sz w:val="24"/>
                <w:szCs w:val="24"/>
              </w:rPr>
            </w:pPr>
            <w:r w:rsidRPr="00F7661A">
              <w:rPr>
                <w:rFonts w:ascii="宋体" w:hAnsi="宋体" w:hint="eastAsia"/>
                <w:b/>
                <w:bCs/>
                <w:iCs/>
                <w:sz w:val="24"/>
                <w:szCs w:val="24"/>
              </w:rPr>
              <w:t>地点</w:t>
            </w:r>
          </w:p>
        </w:tc>
        <w:tc>
          <w:tcPr>
            <w:tcW w:w="6996" w:type="dxa"/>
            <w:shd w:val="clear" w:color="auto" w:fill="auto"/>
          </w:tcPr>
          <w:p w:rsidR="003921CD" w:rsidRPr="00F7661A" w:rsidRDefault="002644E9" w:rsidP="004331F1">
            <w:pPr>
              <w:spacing w:line="480" w:lineRule="atLeast"/>
              <w:rPr>
                <w:rFonts w:ascii="宋体" w:hAnsi="宋体"/>
                <w:bCs/>
                <w:iCs/>
                <w:sz w:val="24"/>
                <w:szCs w:val="24"/>
              </w:rPr>
            </w:pPr>
            <w:r>
              <w:rPr>
                <w:rFonts w:ascii="宋体" w:hAnsi="宋体" w:hint="eastAsia"/>
                <w:bCs/>
                <w:iCs/>
                <w:sz w:val="24"/>
                <w:szCs w:val="24"/>
              </w:rPr>
              <w:t>公司会议室</w:t>
            </w:r>
          </w:p>
        </w:tc>
      </w:tr>
      <w:tr w:rsidR="003921CD" w:rsidRPr="00F7661A" w:rsidTr="002644E9">
        <w:tc>
          <w:tcPr>
            <w:tcW w:w="1702" w:type="dxa"/>
            <w:shd w:val="clear" w:color="auto" w:fill="auto"/>
          </w:tcPr>
          <w:p w:rsidR="003921CD" w:rsidRPr="00F7661A" w:rsidRDefault="003921CD" w:rsidP="004331F1">
            <w:pPr>
              <w:spacing w:line="480" w:lineRule="atLeast"/>
              <w:rPr>
                <w:rFonts w:ascii="宋体" w:hAnsi="宋体"/>
                <w:b/>
                <w:bCs/>
                <w:iCs/>
                <w:sz w:val="24"/>
                <w:szCs w:val="24"/>
              </w:rPr>
            </w:pPr>
            <w:r w:rsidRPr="00F7661A">
              <w:rPr>
                <w:rFonts w:ascii="宋体" w:hAnsi="宋体" w:hint="eastAsia"/>
                <w:b/>
                <w:bCs/>
                <w:iCs/>
                <w:sz w:val="24"/>
                <w:szCs w:val="24"/>
              </w:rPr>
              <w:t>上市公司接待人员姓名</w:t>
            </w:r>
          </w:p>
        </w:tc>
        <w:tc>
          <w:tcPr>
            <w:tcW w:w="6996" w:type="dxa"/>
            <w:shd w:val="clear" w:color="auto" w:fill="auto"/>
          </w:tcPr>
          <w:p w:rsidR="003921CD" w:rsidRPr="00F7661A" w:rsidRDefault="002644E9" w:rsidP="004331F1">
            <w:pPr>
              <w:spacing w:line="480" w:lineRule="atLeast"/>
              <w:rPr>
                <w:rFonts w:ascii="宋体" w:hAnsi="宋体"/>
                <w:bCs/>
                <w:iCs/>
                <w:sz w:val="24"/>
                <w:szCs w:val="24"/>
              </w:rPr>
            </w:pPr>
            <w:r>
              <w:rPr>
                <w:rFonts w:ascii="宋体" w:hAnsi="宋体" w:hint="eastAsia"/>
                <w:bCs/>
                <w:iCs/>
                <w:sz w:val="24"/>
                <w:szCs w:val="24"/>
              </w:rPr>
              <w:t>总经理助理秦军、证券部李秋鹤等</w:t>
            </w:r>
          </w:p>
        </w:tc>
      </w:tr>
      <w:tr w:rsidR="003921CD" w:rsidRPr="00F7661A" w:rsidTr="002644E9">
        <w:trPr>
          <w:trHeight w:val="1757"/>
        </w:trPr>
        <w:tc>
          <w:tcPr>
            <w:tcW w:w="1702" w:type="dxa"/>
            <w:shd w:val="clear" w:color="auto" w:fill="auto"/>
            <w:vAlign w:val="center"/>
          </w:tcPr>
          <w:p w:rsidR="003921CD" w:rsidRPr="00F7661A" w:rsidRDefault="003921CD" w:rsidP="004331F1">
            <w:pPr>
              <w:spacing w:line="480" w:lineRule="atLeast"/>
              <w:rPr>
                <w:rFonts w:ascii="宋体" w:hAnsi="宋体"/>
                <w:b/>
                <w:bCs/>
                <w:iCs/>
                <w:sz w:val="24"/>
                <w:szCs w:val="24"/>
              </w:rPr>
            </w:pPr>
            <w:r w:rsidRPr="00F7661A">
              <w:rPr>
                <w:rFonts w:ascii="宋体" w:hAnsi="宋体" w:hint="eastAsia"/>
                <w:b/>
                <w:bCs/>
                <w:iCs/>
                <w:sz w:val="24"/>
                <w:szCs w:val="24"/>
              </w:rPr>
              <w:t>投资者关系活动主要内容介绍</w:t>
            </w:r>
          </w:p>
          <w:p w:rsidR="003921CD" w:rsidRPr="00F7661A" w:rsidRDefault="003921CD" w:rsidP="004331F1">
            <w:pPr>
              <w:spacing w:line="480" w:lineRule="atLeast"/>
              <w:rPr>
                <w:rFonts w:ascii="宋体" w:hAnsi="宋体"/>
                <w:b/>
                <w:bCs/>
                <w:iCs/>
                <w:sz w:val="24"/>
                <w:szCs w:val="24"/>
              </w:rPr>
            </w:pPr>
          </w:p>
        </w:tc>
        <w:tc>
          <w:tcPr>
            <w:tcW w:w="6996" w:type="dxa"/>
            <w:shd w:val="clear" w:color="auto" w:fill="auto"/>
          </w:tcPr>
          <w:p w:rsidR="003921CD" w:rsidRDefault="002644E9" w:rsidP="004331F1">
            <w:pPr>
              <w:spacing w:line="480" w:lineRule="atLeast"/>
              <w:rPr>
                <w:rFonts w:ascii="宋体" w:hAnsi="宋体"/>
                <w:bCs/>
                <w:iCs/>
                <w:sz w:val="24"/>
                <w:szCs w:val="24"/>
              </w:rPr>
            </w:pPr>
            <w:r>
              <w:rPr>
                <w:rFonts w:ascii="宋体" w:hAnsi="宋体" w:hint="eastAsia"/>
                <w:bCs/>
                <w:iCs/>
                <w:sz w:val="24"/>
                <w:szCs w:val="24"/>
              </w:rPr>
              <w:t>1、了解公司对猪周期的看法</w:t>
            </w:r>
          </w:p>
          <w:p w:rsidR="002644E9" w:rsidRDefault="002644E9" w:rsidP="002644E9">
            <w:pPr>
              <w:spacing w:line="480" w:lineRule="atLeast"/>
              <w:ind w:firstLineChars="200" w:firstLine="480"/>
              <w:rPr>
                <w:rFonts w:ascii="宋体" w:hAnsi="宋体"/>
                <w:bCs/>
                <w:iCs/>
                <w:sz w:val="24"/>
                <w:szCs w:val="24"/>
              </w:rPr>
            </w:pPr>
            <w:r>
              <w:rPr>
                <w:rFonts w:ascii="宋体" w:hAnsi="宋体" w:hint="eastAsia"/>
                <w:bCs/>
                <w:iCs/>
                <w:sz w:val="24"/>
                <w:szCs w:val="24"/>
              </w:rPr>
              <w:t>2008、2011年两个猪周期的顶峰，</w:t>
            </w:r>
            <w:r w:rsidR="00397627">
              <w:rPr>
                <w:rFonts w:ascii="宋体" w:hAnsi="宋体" w:hint="eastAsia"/>
                <w:bCs/>
                <w:iCs/>
                <w:sz w:val="24"/>
                <w:szCs w:val="24"/>
              </w:rPr>
              <w:t>之前</w:t>
            </w:r>
            <w:r>
              <w:rPr>
                <w:rFonts w:ascii="宋体" w:hAnsi="宋体" w:hint="eastAsia"/>
                <w:bCs/>
                <w:iCs/>
                <w:sz w:val="24"/>
                <w:szCs w:val="24"/>
              </w:rPr>
              <w:t>行业都出现了非常</w:t>
            </w:r>
            <w:r w:rsidR="00397627">
              <w:rPr>
                <w:rFonts w:ascii="宋体" w:hAnsi="宋体" w:hint="eastAsia"/>
                <w:bCs/>
                <w:iCs/>
                <w:sz w:val="24"/>
                <w:szCs w:val="24"/>
              </w:rPr>
              <w:t>区域广、程度</w:t>
            </w:r>
            <w:r>
              <w:rPr>
                <w:rFonts w:ascii="宋体" w:hAnsi="宋体" w:hint="eastAsia"/>
                <w:bCs/>
                <w:iCs/>
                <w:sz w:val="24"/>
                <w:szCs w:val="24"/>
              </w:rPr>
              <w:t>严重的疫病，导致生猪供应量</w:t>
            </w:r>
            <w:r w:rsidR="00397627">
              <w:rPr>
                <w:rFonts w:ascii="宋体" w:hAnsi="宋体" w:hint="eastAsia"/>
                <w:bCs/>
                <w:iCs/>
                <w:sz w:val="24"/>
                <w:szCs w:val="24"/>
              </w:rPr>
              <w:t>不足</w:t>
            </w:r>
            <w:r>
              <w:rPr>
                <w:rFonts w:ascii="宋体" w:hAnsi="宋体" w:hint="eastAsia"/>
                <w:bCs/>
                <w:iCs/>
                <w:sz w:val="24"/>
                <w:szCs w:val="24"/>
              </w:rPr>
              <w:t>，</w:t>
            </w:r>
            <w:r w:rsidR="00397627">
              <w:rPr>
                <w:rFonts w:ascii="宋体" w:hAnsi="宋体" w:hint="eastAsia"/>
                <w:bCs/>
                <w:iCs/>
                <w:sz w:val="24"/>
                <w:szCs w:val="24"/>
              </w:rPr>
              <w:t>进而推动</w:t>
            </w:r>
            <w:r>
              <w:rPr>
                <w:rFonts w:ascii="宋体" w:hAnsi="宋体" w:hint="eastAsia"/>
                <w:bCs/>
                <w:iCs/>
                <w:sz w:val="24"/>
                <w:szCs w:val="24"/>
              </w:rPr>
              <w:t>生猪价格的上涨。</w:t>
            </w:r>
            <w:r w:rsidR="00397627">
              <w:rPr>
                <w:rFonts w:ascii="宋体" w:hAnsi="宋体" w:hint="eastAsia"/>
                <w:bCs/>
                <w:iCs/>
                <w:sz w:val="24"/>
                <w:szCs w:val="24"/>
              </w:rPr>
              <w:t>2013年以来全国疫病形势保持稳定。</w:t>
            </w:r>
          </w:p>
          <w:p w:rsidR="002644E9" w:rsidRDefault="002644E9" w:rsidP="002644E9">
            <w:pPr>
              <w:spacing w:line="480" w:lineRule="atLeast"/>
              <w:ind w:firstLineChars="200" w:firstLine="480"/>
              <w:rPr>
                <w:rFonts w:ascii="宋体" w:hAnsi="宋体"/>
                <w:bCs/>
                <w:iCs/>
                <w:sz w:val="24"/>
                <w:szCs w:val="24"/>
              </w:rPr>
            </w:pPr>
            <w:r>
              <w:rPr>
                <w:rFonts w:ascii="宋体" w:hAnsi="宋体" w:hint="eastAsia"/>
                <w:bCs/>
                <w:iCs/>
                <w:sz w:val="24"/>
                <w:szCs w:val="24"/>
              </w:rPr>
              <w:t>近些年规模化养殖场的建设，使得生产劳动效率提高，生猪成活率和生长速度都有所提高，也是生猪供应量增加</w:t>
            </w:r>
            <w:r w:rsidR="00397627">
              <w:rPr>
                <w:rFonts w:ascii="宋体" w:hAnsi="宋体" w:hint="eastAsia"/>
                <w:bCs/>
                <w:iCs/>
                <w:sz w:val="24"/>
                <w:szCs w:val="24"/>
              </w:rPr>
              <w:t>的原因</w:t>
            </w:r>
            <w:r>
              <w:rPr>
                <w:rFonts w:ascii="宋体" w:hAnsi="宋体" w:hint="eastAsia"/>
                <w:bCs/>
                <w:iCs/>
                <w:sz w:val="24"/>
                <w:szCs w:val="24"/>
              </w:rPr>
              <w:t>。</w:t>
            </w:r>
            <w:r w:rsidR="0023547C">
              <w:rPr>
                <w:rFonts w:ascii="宋体" w:hAnsi="宋体" w:hint="eastAsia"/>
                <w:bCs/>
                <w:iCs/>
                <w:sz w:val="24"/>
                <w:szCs w:val="24"/>
              </w:rPr>
              <w:t>规模养殖场占比提高，也会使猪价波动规律发生一定的变化。</w:t>
            </w:r>
          </w:p>
          <w:p w:rsidR="002644E9" w:rsidRDefault="002644E9" w:rsidP="002644E9">
            <w:pPr>
              <w:spacing w:line="480" w:lineRule="atLeast"/>
              <w:ind w:firstLineChars="200" w:firstLine="480"/>
              <w:rPr>
                <w:rFonts w:ascii="宋体" w:hAnsi="宋体"/>
                <w:bCs/>
                <w:iCs/>
                <w:sz w:val="24"/>
                <w:szCs w:val="24"/>
              </w:rPr>
            </w:pPr>
            <w:r>
              <w:rPr>
                <w:rFonts w:ascii="宋体" w:hAnsi="宋体" w:hint="eastAsia"/>
                <w:bCs/>
                <w:iCs/>
                <w:sz w:val="24"/>
                <w:szCs w:val="24"/>
              </w:rPr>
              <w:t>本次猪价的下跌，是近10年来最严重的一次，也是全行业最困难的时期。</w:t>
            </w:r>
          </w:p>
          <w:p w:rsidR="002644E9" w:rsidRDefault="002644E9" w:rsidP="002644E9">
            <w:pPr>
              <w:spacing w:line="480" w:lineRule="atLeast"/>
              <w:rPr>
                <w:rFonts w:ascii="宋体" w:hAnsi="宋体"/>
                <w:bCs/>
                <w:iCs/>
                <w:sz w:val="24"/>
                <w:szCs w:val="24"/>
              </w:rPr>
            </w:pPr>
            <w:r>
              <w:rPr>
                <w:rFonts w:ascii="宋体" w:hAnsi="宋体" w:hint="eastAsia"/>
                <w:bCs/>
                <w:iCs/>
                <w:sz w:val="24"/>
                <w:szCs w:val="24"/>
              </w:rPr>
              <w:t>2、公司的成本优势</w:t>
            </w:r>
          </w:p>
          <w:p w:rsidR="002644E9" w:rsidRDefault="002644E9" w:rsidP="002644E9">
            <w:pPr>
              <w:spacing w:line="480" w:lineRule="atLeast"/>
              <w:ind w:firstLine="480"/>
              <w:rPr>
                <w:rFonts w:ascii="宋体" w:hAnsi="宋体"/>
                <w:bCs/>
                <w:iCs/>
                <w:sz w:val="24"/>
                <w:szCs w:val="24"/>
              </w:rPr>
            </w:pPr>
            <w:r>
              <w:rPr>
                <w:rFonts w:ascii="宋体" w:hAnsi="宋体" w:hint="eastAsia"/>
                <w:bCs/>
                <w:iCs/>
                <w:sz w:val="24"/>
                <w:szCs w:val="24"/>
              </w:rPr>
              <w:t>（1）营养配方优势。公司的营养配方是</w:t>
            </w:r>
            <w:r w:rsidR="00AC0974">
              <w:rPr>
                <w:rFonts w:ascii="宋体" w:hAnsi="宋体" w:hint="eastAsia"/>
                <w:bCs/>
                <w:iCs/>
                <w:sz w:val="24"/>
                <w:szCs w:val="24"/>
              </w:rPr>
              <w:t>“</w:t>
            </w:r>
            <w:r>
              <w:rPr>
                <w:rFonts w:ascii="宋体" w:hAnsi="宋体" w:hint="eastAsia"/>
                <w:bCs/>
                <w:iCs/>
                <w:sz w:val="24"/>
                <w:szCs w:val="24"/>
              </w:rPr>
              <w:t>小麦+豆粕</w:t>
            </w:r>
            <w:r w:rsidR="00AC0974">
              <w:rPr>
                <w:rFonts w:ascii="宋体" w:hAnsi="宋体" w:hint="eastAsia"/>
                <w:bCs/>
                <w:iCs/>
                <w:sz w:val="24"/>
                <w:szCs w:val="24"/>
              </w:rPr>
              <w:t>”</w:t>
            </w:r>
            <w:r>
              <w:rPr>
                <w:rFonts w:ascii="宋体" w:hAnsi="宋体" w:hint="eastAsia"/>
                <w:bCs/>
                <w:iCs/>
                <w:sz w:val="24"/>
                <w:szCs w:val="24"/>
              </w:rPr>
              <w:t>和</w:t>
            </w:r>
            <w:r w:rsidR="00AC0974">
              <w:rPr>
                <w:rFonts w:ascii="宋体" w:hAnsi="宋体" w:hint="eastAsia"/>
                <w:bCs/>
                <w:iCs/>
                <w:sz w:val="24"/>
                <w:szCs w:val="24"/>
              </w:rPr>
              <w:t>“</w:t>
            </w:r>
            <w:r>
              <w:rPr>
                <w:rFonts w:ascii="宋体" w:hAnsi="宋体" w:hint="eastAsia"/>
                <w:bCs/>
                <w:iCs/>
                <w:sz w:val="24"/>
                <w:szCs w:val="24"/>
              </w:rPr>
              <w:t>玉米+豆粕</w:t>
            </w:r>
            <w:r w:rsidR="00AC0974">
              <w:rPr>
                <w:rFonts w:ascii="宋体" w:hAnsi="宋体" w:hint="eastAsia"/>
                <w:bCs/>
                <w:iCs/>
                <w:sz w:val="24"/>
                <w:szCs w:val="24"/>
              </w:rPr>
              <w:t>”</w:t>
            </w:r>
            <w:r>
              <w:rPr>
                <w:rFonts w:ascii="宋体" w:hAnsi="宋体" w:hint="eastAsia"/>
                <w:bCs/>
                <w:iCs/>
                <w:sz w:val="24"/>
                <w:szCs w:val="24"/>
              </w:rPr>
              <w:t>相结合的模式，由于公司自身拥有饲料厂，可以根据猪</w:t>
            </w:r>
            <w:r>
              <w:rPr>
                <w:rFonts w:ascii="宋体" w:hAnsi="宋体" w:hint="eastAsia"/>
                <w:bCs/>
                <w:iCs/>
                <w:sz w:val="24"/>
                <w:szCs w:val="24"/>
              </w:rPr>
              <w:lastRenderedPageBreak/>
              <w:t>群的生长阶段制定不同的营养配方，保证猪群营养的同时降低生产成本</w:t>
            </w:r>
          </w:p>
          <w:p w:rsidR="002644E9" w:rsidRDefault="002644E9" w:rsidP="002644E9">
            <w:pPr>
              <w:spacing w:line="480" w:lineRule="atLeast"/>
              <w:ind w:firstLine="480"/>
              <w:rPr>
                <w:rFonts w:ascii="宋体" w:hAnsi="宋体"/>
                <w:bCs/>
                <w:iCs/>
                <w:sz w:val="24"/>
                <w:szCs w:val="24"/>
              </w:rPr>
            </w:pPr>
            <w:r>
              <w:rPr>
                <w:rFonts w:ascii="宋体" w:hAnsi="宋体" w:hint="eastAsia"/>
                <w:bCs/>
                <w:iCs/>
                <w:sz w:val="24"/>
                <w:szCs w:val="24"/>
              </w:rPr>
              <w:t>（2）饲养管理优势。公司生产成本控制的措施都通过饲养管理来体现，公司精细化的饲养管理，专业化的分工，能够保证生产中的各个环节都得到有效的控制，从而降低生猪死亡率、降低生产过程中的浪费，从而降低生产成本。</w:t>
            </w:r>
          </w:p>
          <w:p w:rsidR="0023547C" w:rsidRDefault="0023547C" w:rsidP="002644E9">
            <w:pPr>
              <w:spacing w:line="480" w:lineRule="atLeast"/>
              <w:rPr>
                <w:rFonts w:ascii="宋体" w:hAnsi="宋体"/>
                <w:bCs/>
                <w:iCs/>
                <w:sz w:val="24"/>
                <w:szCs w:val="24"/>
              </w:rPr>
            </w:pPr>
          </w:p>
          <w:p w:rsidR="002644E9" w:rsidRDefault="002644E9" w:rsidP="002644E9">
            <w:pPr>
              <w:spacing w:line="480" w:lineRule="atLeast"/>
              <w:rPr>
                <w:rFonts w:ascii="宋体" w:hAnsi="宋体"/>
                <w:bCs/>
                <w:iCs/>
                <w:sz w:val="24"/>
                <w:szCs w:val="24"/>
              </w:rPr>
            </w:pPr>
            <w:r>
              <w:rPr>
                <w:rFonts w:ascii="宋体" w:hAnsi="宋体" w:hint="eastAsia"/>
                <w:bCs/>
                <w:iCs/>
                <w:sz w:val="24"/>
                <w:szCs w:val="24"/>
              </w:rPr>
              <w:t>3、关于自然人客户的问题</w:t>
            </w:r>
          </w:p>
          <w:p w:rsidR="002644E9" w:rsidRDefault="002644E9" w:rsidP="002644E9">
            <w:pPr>
              <w:spacing w:line="384" w:lineRule="auto"/>
              <w:ind w:firstLineChars="200" w:firstLine="480"/>
              <w:rPr>
                <w:sz w:val="24"/>
              </w:rPr>
            </w:pPr>
            <w:r>
              <w:rPr>
                <w:rFonts w:ascii="宋体" w:hAnsi="宋体" w:hint="eastAsia"/>
                <w:bCs/>
                <w:iCs/>
                <w:sz w:val="24"/>
                <w:szCs w:val="24"/>
              </w:rPr>
              <w:t>（1）</w:t>
            </w:r>
            <w:r w:rsidRPr="00FA7F28">
              <w:rPr>
                <w:sz w:val="24"/>
              </w:rPr>
              <w:t>猪贩子的大量存在是生猪销售的行业特点。公司商品猪销售渠道中自然人客户（即猪贩子）占比较大，是由生猪销售的行业特点决定的。传统上养殖企业都是出栏交货，很少负责运输，且专门成立一个运输队费用太高，利用率低，主要是因为养殖企业日出栏量不均衡，存在出栏过于集中和不足的现象，会造成运能不足和冗余。下游屠宰企业的屠宰产能一般都较大，而</w:t>
            </w:r>
            <w:r w:rsidRPr="00FA7F28">
              <w:rPr>
                <w:kern w:val="0"/>
                <w:sz w:val="24"/>
              </w:rPr>
              <w:t>由于目前国内生猪养殖以农户散养为主、大规模的生猪企业较少，无法满足大型屠宰及肉食品加工企业的采购需要，所以一般规模较大屠宰企业也同时建立了稳定的通过自然人采购生猪的采购和结算体系</w:t>
            </w:r>
            <w:r w:rsidRPr="00FA7F28">
              <w:rPr>
                <w:sz w:val="24"/>
              </w:rPr>
              <w:t>。猪贩子承担了生猪从养殖场到屠宰厂间的运输风险，也获得一定的买卖价差。猪贩子承担着活猪物流商及屠宰企业的采购中间商的功能，他们长期活跃于屠宰厂和养殖场之间，具有较丰富的运输经验、市场供需信息及一定的客户资源，在生猪上下游间起到一个纽带的作用。</w:t>
            </w:r>
          </w:p>
          <w:p w:rsidR="002644E9" w:rsidRDefault="002644E9" w:rsidP="002644E9">
            <w:pPr>
              <w:spacing w:line="384" w:lineRule="auto"/>
              <w:ind w:firstLineChars="200" w:firstLine="480"/>
              <w:rPr>
                <w:rFonts w:ascii="宋体" w:hAnsi="宋体"/>
                <w:sz w:val="24"/>
              </w:rPr>
            </w:pPr>
            <w:r w:rsidRPr="002644E9">
              <w:rPr>
                <w:rFonts w:ascii="宋体" w:hAnsi="宋体" w:hint="eastAsia"/>
                <w:sz w:val="24"/>
              </w:rPr>
              <w:t>（2）</w:t>
            </w:r>
            <w:r>
              <w:rPr>
                <w:rFonts w:ascii="宋体" w:hAnsi="宋体" w:hint="eastAsia"/>
                <w:sz w:val="24"/>
              </w:rPr>
              <w:t>同时，公司通过调整客户结构，机构客户的数量在增加，是的公司的销售渠道更加稳定。</w:t>
            </w:r>
          </w:p>
          <w:p w:rsidR="00316638" w:rsidRDefault="00316638" w:rsidP="002644E9">
            <w:pPr>
              <w:spacing w:line="384" w:lineRule="auto"/>
              <w:rPr>
                <w:rFonts w:ascii="宋体" w:hAnsi="宋体"/>
                <w:sz w:val="24"/>
              </w:rPr>
            </w:pPr>
          </w:p>
          <w:p w:rsidR="002644E9" w:rsidRDefault="002644E9" w:rsidP="002644E9">
            <w:pPr>
              <w:spacing w:line="384" w:lineRule="auto"/>
              <w:rPr>
                <w:rFonts w:ascii="宋体" w:hAnsi="宋体"/>
                <w:sz w:val="24"/>
              </w:rPr>
            </w:pPr>
            <w:r>
              <w:rPr>
                <w:rFonts w:ascii="宋体" w:hAnsi="宋体" w:hint="eastAsia"/>
                <w:sz w:val="24"/>
              </w:rPr>
              <w:t>4、公司核心技术人员的稳定性</w:t>
            </w:r>
          </w:p>
          <w:p w:rsidR="003921CD" w:rsidRPr="002644E9" w:rsidRDefault="002644E9" w:rsidP="00316638">
            <w:pPr>
              <w:spacing w:line="384" w:lineRule="auto"/>
              <w:rPr>
                <w:rFonts w:ascii="宋体" w:hAnsi="宋体"/>
                <w:sz w:val="24"/>
              </w:rPr>
            </w:pPr>
            <w:r>
              <w:rPr>
                <w:rFonts w:ascii="宋体" w:hAnsi="宋体" w:hint="eastAsia"/>
                <w:sz w:val="24"/>
              </w:rPr>
              <w:t xml:space="preserve">    公司生产副总苏党林、兽医总监杨瑞华等核心技术人员，是</w:t>
            </w:r>
            <w:r w:rsidR="00316638">
              <w:rPr>
                <w:rFonts w:ascii="宋体" w:hAnsi="宋体" w:hint="eastAsia"/>
                <w:sz w:val="24"/>
              </w:rPr>
              <w:t>伴随公司规模不断扩大和养猪生产技术不断提高，</w:t>
            </w:r>
            <w:r>
              <w:rPr>
                <w:rFonts w:ascii="宋体" w:hAnsi="宋体" w:hint="eastAsia"/>
                <w:sz w:val="24"/>
              </w:rPr>
              <w:t>在实践中成长起来的</w:t>
            </w:r>
            <w:r w:rsidR="00316638">
              <w:rPr>
                <w:rFonts w:ascii="宋体" w:hAnsi="宋体" w:hint="eastAsia"/>
                <w:sz w:val="24"/>
              </w:rPr>
              <w:t>实干型</w:t>
            </w:r>
            <w:r>
              <w:rPr>
                <w:rFonts w:ascii="宋体" w:hAnsi="宋体" w:hint="eastAsia"/>
                <w:sz w:val="24"/>
              </w:rPr>
              <w:t>专业人才，</w:t>
            </w:r>
            <w:r w:rsidR="00316638">
              <w:rPr>
                <w:rFonts w:ascii="宋体" w:hAnsi="宋体" w:hint="eastAsia"/>
                <w:sz w:val="24"/>
              </w:rPr>
              <w:t>并且已经在公司服务多年，</w:t>
            </w:r>
            <w:r>
              <w:rPr>
                <w:rFonts w:ascii="宋体" w:hAnsi="宋体" w:hint="eastAsia"/>
                <w:sz w:val="24"/>
              </w:rPr>
              <w:t>核心技术人</w:t>
            </w:r>
            <w:r>
              <w:rPr>
                <w:rFonts w:ascii="宋体" w:hAnsi="宋体" w:hint="eastAsia"/>
                <w:sz w:val="24"/>
              </w:rPr>
              <w:lastRenderedPageBreak/>
              <w:t>员非常稳定，能够为公司的生产管理提供长期的、高品质的技术服务。</w:t>
            </w:r>
          </w:p>
        </w:tc>
      </w:tr>
      <w:tr w:rsidR="003921CD" w:rsidRPr="00F7661A" w:rsidTr="002644E9">
        <w:tc>
          <w:tcPr>
            <w:tcW w:w="1702" w:type="dxa"/>
            <w:shd w:val="clear" w:color="auto" w:fill="auto"/>
            <w:vAlign w:val="center"/>
          </w:tcPr>
          <w:p w:rsidR="003921CD" w:rsidRPr="00F7661A" w:rsidRDefault="003921CD" w:rsidP="004331F1">
            <w:pPr>
              <w:spacing w:line="480" w:lineRule="atLeast"/>
              <w:rPr>
                <w:rFonts w:ascii="宋体" w:hAnsi="宋体"/>
                <w:b/>
                <w:bCs/>
                <w:iCs/>
                <w:sz w:val="24"/>
                <w:szCs w:val="24"/>
              </w:rPr>
            </w:pPr>
            <w:r w:rsidRPr="00F7661A">
              <w:rPr>
                <w:rFonts w:ascii="宋体" w:hAnsi="宋体" w:hint="eastAsia"/>
                <w:b/>
                <w:bCs/>
                <w:iCs/>
                <w:sz w:val="24"/>
                <w:szCs w:val="24"/>
              </w:rPr>
              <w:lastRenderedPageBreak/>
              <w:t>附件清单（如有）</w:t>
            </w:r>
          </w:p>
        </w:tc>
        <w:tc>
          <w:tcPr>
            <w:tcW w:w="6996" w:type="dxa"/>
            <w:shd w:val="clear" w:color="auto" w:fill="auto"/>
          </w:tcPr>
          <w:p w:rsidR="003921CD" w:rsidRPr="00F7661A" w:rsidRDefault="003921CD" w:rsidP="004331F1">
            <w:pPr>
              <w:spacing w:line="480" w:lineRule="atLeast"/>
              <w:rPr>
                <w:rFonts w:ascii="宋体" w:hAnsi="宋体"/>
                <w:bCs/>
                <w:iCs/>
                <w:sz w:val="24"/>
                <w:szCs w:val="24"/>
              </w:rPr>
            </w:pPr>
          </w:p>
        </w:tc>
      </w:tr>
      <w:tr w:rsidR="003921CD" w:rsidRPr="00F7661A" w:rsidTr="002644E9">
        <w:tc>
          <w:tcPr>
            <w:tcW w:w="1702" w:type="dxa"/>
            <w:shd w:val="clear" w:color="auto" w:fill="auto"/>
            <w:vAlign w:val="center"/>
          </w:tcPr>
          <w:p w:rsidR="003921CD" w:rsidRPr="00F7661A" w:rsidRDefault="003921CD" w:rsidP="004331F1">
            <w:pPr>
              <w:spacing w:line="480" w:lineRule="atLeast"/>
              <w:rPr>
                <w:rFonts w:ascii="宋体" w:hAnsi="宋体"/>
                <w:b/>
                <w:bCs/>
                <w:iCs/>
                <w:sz w:val="24"/>
                <w:szCs w:val="24"/>
              </w:rPr>
            </w:pPr>
            <w:r w:rsidRPr="00F7661A">
              <w:rPr>
                <w:rFonts w:ascii="宋体" w:hAnsi="宋体" w:hint="eastAsia"/>
                <w:b/>
                <w:bCs/>
                <w:iCs/>
                <w:sz w:val="24"/>
                <w:szCs w:val="24"/>
              </w:rPr>
              <w:t>日期</w:t>
            </w:r>
          </w:p>
        </w:tc>
        <w:tc>
          <w:tcPr>
            <w:tcW w:w="6996" w:type="dxa"/>
            <w:shd w:val="clear" w:color="auto" w:fill="auto"/>
          </w:tcPr>
          <w:p w:rsidR="003921CD" w:rsidRPr="00F7661A" w:rsidRDefault="002644E9" w:rsidP="004331F1">
            <w:pPr>
              <w:spacing w:line="480" w:lineRule="atLeast"/>
              <w:rPr>
                <w:rFonts w:ascii="宋体" w:hAnsi="宋体"/>
                <w:bCs/>
                <w:iCs/>
                <w:sz w:val="24"/>
                <w:szCs w:val="24"/>
              </w:rPr>
            </w:pPr>
            <w:r>
              <w:rPr>
                <w:rFonts w:ascii="宋体" w:hAnsi="宋体" w:hint="eastAsia"/>
                <w:bCs/>
                <w:iCs/>
                <w:sz w:val="24"/>
                <w:szCs w:val="24"/>
              </w:rPr>
              <w:t>2014</w:t>
            </w:r>
            <w:r w:rsidR="00B318A2">
              <w:rPr>
                <w:rFonts w:ascii="宋体" w:hAnsi="宋体" w:hint="eastAsia"/>
                <w:bCs/>
                <w:iCs/>
                <w:sz w:val="24"/>
                <w:szCs w:val="24"/>
              </w:rPr>
              <w:t>年</w:t>
            </w:r>
            <w:r>
              <w:rPr>
                <w:rFonts w:ascii="宋体" w:hAnsi="宋体" w:hint="eastAsia"/>
                <w:bCs/>
                <w:iCs/>
                <w:sz w:val="24"/>
                <w:szCs w:val="24"/>
              </w:rPr>
              <w:t>4</w:t>
            </w:r>
            <w:r w:rsidR="00B318A2">
              <w:rPr>
                <w:rFonts w:ascii="宋体" w:hAnsi="宋体" w:hint="eastAsia"/>
                <w:bCs/>
                <w:iCs/>
                <w:sz w:val="24"/>
                <w:szCs w:val="24"/>
              </w:rPr>
              <w:t>月</w:t>
            </w:r>
            <w:r>
              <w:rPr>
                <w:rFonts w:ascii="宋体" w:hAnsi="宋体" w:hint="eastAsia"/>
                <w:bCs/>
                <w:iCs/>
                <w:sz w:val="24"/>
                <w:szCs w:val="24"/>
              </w:rPr>
              <w:t>3</w:t>
            </w:r>
            <w:r w:rsidR="00B318A2">
              <w:rPr>
                <w:rFonts w:ascii="宋体" w:hAnsi="宋体" w:hint="eastAsia"/>
                <w:bCs/>
                <w:iCs/>
                <w:sz w:val="24"/>
                <w:szCs w:val="24"/>
              </w:rPr>
              <w:t>日</w:t>
            </w:r>
          </w:p>
        </w:tc>
      </w:tr>
    </w:tbl>
    <w:p w:rsidR="00CD2C85" w:rsidRDefault="00CD2C85"/>
    <w:sectPr w:rsidR="00CD2C85" w:rsidSect="0056336F">
      <w:pgSz w:w="11906" w:h="16838"/>
      <w:pgMar w:top="1247" w:right="1644" w:bottom="1247"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3DF3" w:rsidRDefault="00C63DF3" w:rsidP="003921CD">
      <w:r>
        <w:separator/>
      </w:r>
    </w:p>
  </w:endnote>
  <w:endnote w:type="continuationSeparator" w:id="0">
    <w:p w:rsidR="00C63DF3" w:rsidRDefault="00C63DF3" w:rsidP="00392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3DF3" w:rsidRDefault="00C63DF3" w:rsidP="003921CD">
      <w:r>
        <w:separator/>
      </w:r>
    </w:p>
  </w:footnote>
  <w:footnote w:type="continuationSeparator" w:id="0">
    <w:p w:rsidR="00C63DF3" w:rsidRDefault="00C63DF3" w:rsidP="003921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21CD"/>
    <w:rsid w:val="000F0A92"/>
    <w:rsid w:val="001711AC"/>
    <w:rsid w:val="001A4468"/>
    <w:rsid w:val="002136F9"/>
    <w:rsid w:val="0023547C"/>
    <w:rsid w:val="002644E9"/>
    <w:rsid w:val="00277A0D"/>
    <w:rsid w:val="00316638"/>
    <w:rsid w:val="00343BA5"/>
    <w:rsid w:val="003921CD"/>
    <w:rsid w:val="00397627"/>
    <w:rsid w:val="003B746D"/>
    <w:rsid w:val="004331F1"/>
    <w:rsid w:val="0056336F"/>
    <w:rsid w:val="006D0871"/>
    <w:rsid w:val="00734BB0"/>
    <w:rsid w:val="007551F0"/>
    <w:rsid w:val="007D5F7F"/>
    <w:rsid w:val="00953847"/>
    <w:rsid w:val="00AC0974"/>
    <w:rsid w:val="00B318A2"/>
    <w:rsid w:val="00BA403D"/>
    <w:rsid w:val="00C17882"/>
    <w:rsid w:val="00C33482"/>
    <w:rsid w:val="00C63DF3"/>
    <w:rsid w:val="00CC74B7"/>
    <w:rsid w:val="00CD2C85"/>
    <w:rsid w:val="00DA2373"/>
    <w:rsid w:val="00E3118F"/>
    <w:rsid w:val="00E9004C"/>
    <w:rsid w:val="00F36D18"/>
    <w:rsid w:val="00F55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58B1E"/>
  <w15:chartTrackingRefBased/>
  <w15:docId w15:val="{67BBAE4F-C2F0-4C37-BC97-E842D245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1CD"/>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1CD"/>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4">
    <w:name w:val="页眉 字符"/>
    <w:link w:val="a3"/>
    <w:uiPriority w:val="99"/>
    <w:rsid w:val="003921CD"/>
    <w:rPr>
      <w:sz w:val="18"/>
      <w:szCs w:val="18"/>
    </w:rPr>
  </w:style>
  <w:style w:type="paragraph" w:styleId="a5">
    <w:name w:val="footer"/>
    <w:basedOn w:val="a"/>
    <w:link w:val="a6"/>
    <w:uiPriority w:val="99"/>
    <w:unhideWhenUsed/>
    <w:rsid w:val="003921CD"/>
    <w:pPr>
      <w:tabs>
        <w:tab w:val="center" w:pos="4153"/>
        <w:tab w:val="right" w:pos="8306"/>
      </w:tabs>
      <w:snapToGrid w:val="0"/>
      <w:jc w:val="left"/>
    </w:pPr>
    <w:rPr>
      <w:rFonts w:ascii="Calibri" w:hAnsi="Calibri"/>
      <w:kern w:val="0"/>
      <w:sz w:val="18"/>
      <w:szCs w:val="18"/>
      <w:lang w:val="x-none" w:eastAsia="x-none"/>
    </w:rPr>
  </w:style>
  <w:style w:type="character" w:customStyle="1" w:styleId="a6">
    <w:name w:val="页脚 字符"/>
    <w:link w:val="a5"/>
    <w:uiPriority w:val="99"/>
    <w:rsid w:val="003921CD"/>
    <w:rPr>
      <w:sz w:val="18"/>
      <w:szCs w:val="18"/>
    </w:rPr>
  </w:style>
  <w:style w:type="character" w:styleId="a7">
    <w:name w:val="annotation reference"/>
    <w:uiPriority w:val="99"/>
    <w:semiHidden/>
    <w:unhideWhenUsed/>
    <w:rsid w:val="002136F9"/>
    <w:rPr>
      <w:sz w:val="21"/>
      <w:szCs w:val="21"/>
    </w:rPr>
  </w:style>
  <w:style w:type="paragraph" w:styleId="a8">
    <w:name w:val="annotation text"/>
    <w:basedOn w:val="a"/>
    <w:link w:val="a9"/>
    <w:uiPriority w:val="99"/>
    <w:semiHidden/>
    <w:unhideWhenUsed/>
    <w:rsid w:val="002136F9"/>
    <w:pPr>
      <w:jc w:val="left"/>
    </w:pPr>
    <w:rPr>
      <w:lang w:val="x-none" w:eastAsia="x-none"/>
    </w:rPr>
  </w:style>
  <w:style w:type="character" w:customStyle="1" w:styleId="a9">
    <w:name w:val="批注文字 字符"/>
    <w:link w:val="a8"/>
    <w:uiPriority w:val="99"/>
    <w:semiHidden/>
    <w:rsid w:val="002136F9"/>
    <w:rPr>
      <w:rFonts w:ascii="Times New Roman" w:hAnsi="Times New Roman"/>
      <w:kern w:val="2"/>
      <w:sz w:val="21"/>
    </w:rPr>
  </w:style>
  <w:style w:type="paragraph" w:styleId="aa">
    <w:name w:val="annotation subject"/>
    <w:basedOn w:val="a8"/>
    <w:next w:val="a8"/>
    <w:link w:val="ab"/>
    <w:uiPriority w:val="99"/>
    <w:semiHidden/>
    <w:unhideWhenUsed/>
    <w:rsid w:val="002136F9"/>
    <w:rPr>
      <w:b/>
      <w:bCs/>
    </w:rPr>
  </w:style>
  <w:style w:type="character" w:customStyle="1" w:styleId="ab">
    <w:name w:val="批注主题 字符"/>
    <w:link w:val="aa"/>
    <w:uiPriority w:val="99"/>
    <w:semiHidden/>
    <w:rsid w:val="002136F9"/>
    <w:rPr>
      <w:rFonts w:ascii="Times New Roman" w:hAnsi="Times New Roman"/>
      <w:b/>
      <w:bCs/>
      <w:kern w:val="2"/>
      <w:sz w:val="21"/>
    </w:rPr>
  </w:style>
  <w:style w:type="paragraph" w:styleId="ac">
    <w:name w:val="Balloon Text"/>
    <w:basedOn w:val="a"/>
    <w:link w:val="ad"/>
    <w:uiPriority w:val="99"/>
    <w:semiHidden/>
    <w:unhideWhenUsed/>
    <w:rsid w:val="002136F9"/>
    <w:rPr>
      <w:sz w:val="18"/>
      <w:szCs w:val="18"/>
      <w:lang w:val="x-none" w:eastAsia="x-none"/>
    </w:rPr>
  </w:style>
  <w:style w:type="character" w:customStyle="1" w:styleId="ad">
    <w:name w:val="批注框文本 字符"/>
    <w:link w:val="ac"/>
    <w:uiPriority w:val="99"/>
    <w:semiHidden/>
    <w:rsid w:val="002136F9"/>
    <w:rPr>
      <w:rFonts w:ascii="Times New Roman" w:hAnsi="Times New Roman"/>
      <w:kern w:val="2"/>
      <w:sz w:val="18"/>
      <w:szCs w:val="18"/>
    </w:rPr>
  </w:style>
  <w:style w:type="table" w:styleId="ae">
    <w:name w:val="Table Grid"/>
    <w:basedOn w:val="a1"/>
    <w:uiPriority w:val="59"/>
    <w:rsid w:val="00E90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A2DCA-6016-4348-BDE9-BFE7F6E0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my</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xww</dc:creator>
  <cp:keywords/>
  <cp:lastModifiedBy>罗 楚惟</cp:lastModifiedBy>
  <cp:revision>4</cp:revision>
  <dcterms:created xsi:type="dcterms:W3CDTF">2023-05-12T05:27:00Z</dcterms:created>
  <dcterms:modified xsi:type="dcterms:W3CDTF">2023-05-12T05:44:00Z</dcterms:modified>
</cp:coreProperties>
</file>