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17EA" w:rsidRDefault="006766BF">
      <w:pPr>
        <w:widowControl w:val="0"/>
        <w:spacing w:beforeLines="50" w:before="120" w:afterLines="50" w:after="120" w:line="400" w:lineRule="exact"/>
        <w:ind w:firstLineChars="0" w:firstLine="0"/>
        <w:jc w:val="both"/>
        <w:rPr>
          <w:rFonts w:ascii="宋体" w:hAnsi="宋体"/>
          <w:bCs/>
          <w:iCs/>
          <w:color w:val="000000"/>
          <w:sz w:val="24"/>
          <w:szCs w:val="24"/>
        </w:rPr>
      </w:pPr>
      <w:r>
        <w:rPr>
          <w:rFonts w:ascii="宋体" w:hAnsi="宋体" w:hint="eastAsia"/>
          <w:bCs/>
          <w:iCs/>
          <w:color w:val="000000"/>
          <w:sz w:val="24"/>
          <w:szCs w:val="24"/>
        </w:rPr>
        <w:t xml:space="preserve">证券代码：    </w:t>
      </w:r>
      <w:r>
        <w:rPr>
          <w:rFonts w:ascii="宋体" w:hAnsi="宋体" w:hint="eastAsia"/>
          <w:b/>
          <w:bCs/>
          <w:iCs/>
          <w:color w:val="000000"/>
          <w:sz w:val="24"/>
          <w:szCs w:val="24"/>
        </w:rPr>
        <w:t xml:space="preserve">300498   </w:t>
      </w:r>
      <w:r>
        <w:rPr>
          <w:rFonts w:ascii="宋体" w:hAnsi="宋体" w:hint="eastAsia"/>
          <w:bCs/>
          <w:iCs/>
          <w:color w:val="000000"/>
          <w:sz w:val="24"/>
          <w:szCs w:val="24"/>
        </w:rPr>
        <w:t xml:space="preserve">                              证券简称：温氏股份</w:t>
      </w:r>
    </w:p>
    <w:p w:rsidR="000017EA" w:rsidRDefault="006766BF">
      <w:pPr>
        <w:widowControl w:val="0"/>
        <w:spacing w:beforeLines="50" w:before="120" w:afterLines="50" w:after="120" w:line="400" w:lineRule="exact"/>
        <w:ind w:firstLineChars="0" w:firstLine="0"/>
        <w:jc w:val="center"/>
        <w:rPr>
          <w:rFonts w:ascii="宋体" w:hAnsi="宋体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广东温氏食品集团股份有限公司投资者关系活动记录表</w:t>
      </w:r>
    </w:p>
    <w:p w:rsidR="000017EA" w:rsidRDefault="006766BF">
      <w:pPr>
        <w:widowControl w:val="0"/>
        <w:spacing w:line="400" w:lineRule="exact"/>
        <w:ind w:firstLineChars="0" w:firstLine="0"/>
        <w:jc w:val="both"/>
        <w:rPr>
          <w:rFonts w:ascii="宋体" w:hAnsi="宋体"/>
          <w:bCs/>
          <w:iCs/>
          <w:color w:val="000000"/>
          <w:sz w:val="24"/>
          <w:szCs w:val="24"/>
        </w:rPr>
      </w:pPr>
      <w:r>
        <w:rPr>
          <w:rFonts w:ascii="宋体" w:hAnsi="宋体" w:hint="eastAsia"/>
          <w:bCs/>
          <w:iCs/>
          <w:color w:val="000000"/>
          <w:sz w:val="24"/>
          <w:szCs w:val="24"/>
        </w:rPr>
        <w:t xml:space="preserve">                                                         编号：20151106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0017EA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7EA" w:rsidRDefault="006766BF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投资者关系活动类别</w:t>
            </w:r>
          </w:p>
          <w:p w:rsidR="000017EA" w:rsidRDefault="000017E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7EA" w:rsidRDefault="006766BF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MS Mincho" w:eastAsia="MS Mincho" w:hAnsi="MS Mincho" w:cs="MS Mincho" w:hint="eastAsia"/>
                <w:bCs/>
                <w:iCs/>
                <w:color w:val="000000"/>
                <w:sz w:val="24"/>
                <w:szCs w:val="24"/>
              </w:rPr>
              <w:t>☑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特定对象调研        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>
              <w:rPr>
                <w:rFonts w:ascii="宋体" w:hAnsi="宋体" w:hint="eastAsia"/>
                <w:sz w:val="28"/>
                <w:szCs w:val="28"/>
              </w:rPr>
              <w:t>分析师会议</w:t>
            </w:r>
          </w:p>
          <w:p w:rsidR="000017EA" w:rsidRDefault="006766BF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媒体采访            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>
              <w:rPr>
                <w:rFonts w:ascii="宋体" w:hAnsi="宋体" w:hint="eastAsia"/>
                <w:sz w:val="28"/>
                <w:szCs w:val="28"/>
              </w:rPr>
              <w:t>业绩说明会</w:t>
            </w:r>
          </w:p>
          <w:p w:rsidR="000017EA" w:rsidRDefault="006766BF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新闻发布会          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>
              <w:rPr>
                <w:rFonts w:ascii="宋体" w:hAnsi="宋体" w:hint="eastAsia"/>
                <w:sz w:val="28"/>
                <w:szCs w:val="28"/>
              </w:rPr>
              <w:t>路演活动</w:t>
            </w:r>
          </w:p>
          <w:p w:rsidR="000017EA" w:rsidRDefault="006766BF">
            <w:pPr>
              <w:widowControl w:val="0"/>
              <w:tabs>
                <w:tab w:val="left" w:pos="3045"/>
                <w:tab w:val="center" w:pos="3199"/>
              </w:tabs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MS Mincho" w:eastAsia="MS Mincho" w:hAnsi="MS Mincho" w:cs="MS Mincho" w:hint="eastAsia"/>
                <w:bCs/>
                <w:iCs/>
                <w:color w:val="000000"/>
                <w:sz w:val="24"/>
                <w:szCs w:val="24"/>
              </w:rPr>
              <w:t>☑</w:t>
            </w:r>
            <w:r>
              <w:rPr>
                <w:rFonts w:ascii="宋体" w:hAnsi="宋体" w:hint="eastAsia"/>
                <w:sz w:val="28"/>
                <w:szCs w:val="28"/>
              </w:rPr>
              <w:t>现场参观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ab/>
            </w:r>
          </w:p>
          <w:p w:rsidR="000017EA" w:rsidRDefault="006766BF">
            <w:pPr>
              <w:widowControl w:val="0"/>
              <w:tabs>
                <w:tab w:val="center" w:pos="3199"/>
              </w:tabs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>
              <w:rPr>
                <w:rFonts w:ascii="宋体" w:hAnsi="宋体" w:hint="eastAsia"/>
                <w:sz w:val="28"/>
                <w:szCs w:val="28"/>
              </w:rPr>
              <w:t>其他 （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请文字说明其他活动内容）                    </w:t>
            </w:r>
          </w:p>
        </w:tc>
      </w:tr>
      <w:tr w:rsidR="000017EA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7EA" w:rsidRDefault="006766BF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7EA" w:rsidRDefault="006766BF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局外人-李文锋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ab/>
              <w:t>；深圳厚生资产-蔡文君；东吴基金-赵梅玲；银华基金-张萍；中泰证券-刁凯峰；麦星投资-万百千；安州投资-金梦；华泰证券-熊承慧；国金证券-钟凯锋；深圳天生桥资产-胡星</w:t>
            </w:r>
          </w:p>
        </w:tc>
      </w:tr>
      <w:tr w:rsidR="000017EA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7EA" w:rsidRDefault="006766BF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7EA" w:rsidRDefault="006766BF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  <w:t>2015年11月6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日</w:t>
            </w:r>
          </w:p>
        </w:tc>
      </w:tr>
      <w:tr w:rsidR="000017EA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7EA" w:rsidRDefault="006766BF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7EA" w:rsidRDefault="006766BF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公司总部19楼会议室</w:t>
            </w:r>
          </w:p>
        </w:tc>
      </w:tr>
      <w:tr w:rsidR="000017EA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7EA" w:rsidRDefault="006766BF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7EA" w:rsidRDefault="006766BF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梅锦方、梁伟全、何英杰、覃刚禄</w:t>
            </w:r>
          </w:p>
        </w:tc>
      </w:tr>
      <w:tr w:rsidR="000017EA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7EA" w:rsidRDefault="006766BF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投资者关系活动主要内容介绍</w:t>
            </w:r>
          </w:p>
          <w:p w:rsidR="000017EA" w:rsidRDefault="000017E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7EA" w:rsidRDefault="006766BF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一、参观公司文化馆、养户。</w:t>
            </w:r>
          </w:p>
          <w:p w:rsidR="000017EA" w:rsidRDefault="006766BF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二、公司总部19楼会议室会谈，主要内容如下：</w:t>
            </w:r>
          </w:p>
          <w:p w:rsidR="000017EA" w:rsidRDefault="006766BF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1、问：公司有无深加工产品规划？</w:t>
            </w:r>
          </w:p>
          <w:p w:rsidR="000017EA" w:rsidRDefault="006766BF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答：公司有深加工的产品，并且在局部市场占比较高，如在香港。但相对于养鸡、养猪的主产业来说，体量很小。目前，暂无深加工产品的其他规划。</w:t>
            </w:r>
          </w:p>
          <w:p w:rsidR="000017EA" w:rsidRDefault="006766BF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2、公司各地的养户管理员如何招聘和管理？</w:t>
            </w:r>
          </w:p>
          <w:p w:rsidR="000017EA" w:rsidRDefault="006766BF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答：招聘途径主要是畜牧兽医专业大学毕业生，以及在公司内部种鸡、种猪场员工选聘。公司有养户管理员操作手册，公司根据养户管理员规范和流程进行管理和考核。</w:t>
            </w:r>
          </w:p>
          <w:p w:rsidR="000017EA" w:rsidRDefault="006766BF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3、问：①公司养户费用一般都比较稳定，但在猪、鸡行情好坏时有无差别？②公司如何维护养户的稳定，在行情坏时如何防范养户偷买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lastRenderedPageBreak/>
              <w:t>（鸡、猪苗充数），在行情好时如何防范养户偷卖（公司鸡、猪产品），从而赚取差价。</w:t>
            </w:r>
          </w:p>
          <w:p w:rsidR="000017EA" w:rsidRDefault="006766BF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答：①养户与公司是互利的，互相依存。养户在饲养之前已与公司签订委托饲养合同，明确定价。公司保护养户收益相对稳定。随着物价水平的提升，公司给养户的毛利水平也逐年提升。公司是行情变化风险的主要承担者。行情低迷时，公司承担亏损的风险。行情好时，公司会适当提高养户收益。集团公司要求下属分、子公司保证养户收益水平，根据不同时期，要求给予养户（在生产成绩正常的情况下）收益要达到一定水平。</w:t>
            </w:r>
          </w:p>
          <w:p w:rsidR="000017EA" w:rsidRDefault="006766BF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②关于养户稳定的问题，公司现在养户规模比较大，有5万多户，总体比较稳定。公司在选择养户时会事先了解其的情况，一般选择信用良好的养户合作，所以公司养户有较好的诚信度。同时，公司加强管理，一般一位养户管理员管理十多户养户，对养户的排苗、疫病、销售等情况很了解，对正常情况下的生产成绩都心中有数（公司也有数据依据）。如果生产有异常，养户没有说明，也没有管理员见证（说明该养户有问题），如果这种情况持续出现，该批饲养合同到期后，公司会劝退该养户。第三，公司的“公司+农户”模式是紧密型合作关系，养户与公司是互利的，互相依存。第四，养户的种苗、饲料、兽药等物资是公司的资产，这在委托饲养合同中是有约定的，是受法律保护的，所以养户要受相应法律的约束。所以，你说的（偷买偷卖）的情况很少见。</w:t>
            </w:r>
          </w:p>
          <w:p w:rsidR="000017EA" w:rsidRDefault="006766BF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4、问：公司股权结构怎样？后续有无员工股权激励计划？</w:t>
            </w:r>
          </w:p>
          <w:p w:rsidR="000017EA" w:rsidRDefault="006766BF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答：公司</w:t>
            </w:r>
            <w:r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  <w:t>股权较为分散，控股股东及实际控制人为温氏家族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。公司自创业初期就实行员工股份合作制形式，所以较早进入公司工作的干部、员工大都持有公司股份</w:t>
            </w:r>
            <w:r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  <w:t>。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公司上市后，公司将继续弘扬“精诚合作，齐创美满生活”的温氏文化，希望除了工资、奖金收益，骨干员工也能享受到公司发展的成果，所以条件成熟时公司会考虑员工股权激励计划。</w:t>
            </w:r>
          </w:p>
          <w:p w:rsidR="000017EA" w:rsidRDefault="006766BF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lastRenderedPageBreak/>
              <w:t>5、问：历史上公司分红政策如何？</w:t>
            </w:r>
          </w:p>
          <w:p w:rsidR="000017EA" w:rsidRDefault="006766BF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答：公司历年都有一定比例的现金分红，以后也会比较重视现金分红。</w:t>
            </w:r>
          </w:p>
          <w:p w:rsidR="000017EA" w:rsidRDefault="006766BF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6、问：一般会出现养殖水平低的养户会对公司的依赖性高，养殖水平高的养户会对公司的依赖性低吗？公司如何处理？</w:t>
            </w:r>
          </w:p>
          <w:p w:rsidR="000017EA" w:rsidRDefault="006766BF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答：公司对养户的选择不完全在于其对养殖的熟练程度，主要在于品德和劳动力的付出程度。因为公司有专业的技术指导，能很好指导养户的养殖技术，养户需勤勤恳恳，</w:t>
            </w:r>
            <w:r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  <w:t>专心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来做好养殖管理等工作，是可以取得较好的养殖成绩和效益。而且公司在开始选择养户就选了具备好的品德的养户，一般不存在您说的情况。</w:t>
            </w:r>
          </w:p>
          <w:p w:rsidR="000017EA" w:rsidRDefault="006766BF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7、问：黄羽鸡在公司收入占比每年增长情况如何？</w:t>
            </w:r>
          </w:p>
          <w:p w:rsidR="000017EA" w:rsidRDefault="006766BF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近几年，社会消费需求略有下滑，公司黄羽鸡</w:t>
            </w:r>
            <w:r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  <w:t>产量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增长不明显。随着市场行情转暖，公司产量也会适当增</w:t>
            </w:r>
            <w:r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  <w:t>加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，但相对猪的增长还是要低一点。这几年，猪每年都有</w:t>
            </w:r>
            <w:r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  <w:t>十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个点以上的增长，鸡的增长就</w:t>
            </w:r>
            <w:r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  <w:t>少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很多，但公司会积极探索其他途径进行替代。</w:t>
            </w:r>
          </w:p>
          <w:p w:rsidR="000017EA" w:rsidRDefault="006766BF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8、问：公司疫病防疫政策如何？</w:t>
            </w:r>
          </w:p>
          <w:p w:rsidR="000017EA" w:rsidRDefault="006766BF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答：公司多年来在养猪、养鸡生产管理过程中形成了一套完善的防疫体系，该体系实现对研究、防疫、监测各环节全覆盖。这几年生产很稳定，上市率远远高于行业平均水平。</w:t>
            </w:r>
          </w:p>
          <w:p w:rsidR="000017EA" w:rsidRDefault="006766BF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9、问：据了解公司养猪成本比别人低，如何做到？</w:t>
            </w:r>
          </w:p>
          <w:p w:rsidR="000017EA" w:rsidRDefault="006766BF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答：第一，公司采用养殖全流程管理，做好育种、疫病防控、营养等全方位管理。</w:t>
            </w:r>
          </w:p>
          <w:p w:rsidR="000017EA" w:rsidRDefault="006766BF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第二，“公司+农户”的模式，充分发挥了公司和养户的优势，做到更专业，更高效。</w:t>
            </w:r>
          </w:p>
          <w:p w:rsidR="000017EA" w:rsidRDefault="006766BF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10、问：公司对养户管理员的激励如何？</w:t>
            </w:r>
          </w:p>
          <w:p w:rsidR="000017EA" w:rsidRDefault="006766BF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答：养户管理员是公司的内部员工，按照内部员工管理制度进行管理，并根据工作特殊性采取特定管理措施。在激励方面主要体现在交通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lastRenderedPageBreak/>
              <w:t>和通讯补贴、外出补贴、奖金等。同时，公司需要方方面面的人才，公司会根据各岗位情况充分平衡考虑员工激励政策。</w:t>
            </w:r>
          </w:p>
          <w:p w:rsidR="000017EA" w:rsidRDefault="006766BF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11、问：公司的专利怎么样？如何保护？</w:t>
            </w:r>
          </w:p>
          <w:p w:rsidR="000017EA" w:rsidRDefault="006766BF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答：公司有自己的专利技术，还获得了畜禽新品种证书。公司设置了专门的科研管理部，对专利进行管理和保护。</w:t>
            </w:r>
          </w:p>
          <w:p w:rsidR="000017EA" w:rsidRDefault="006766BF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12、问：公司上市后发展空间在哪？</w:t>
            </w:r>
          </w:p>
          <w:p w:rsidR="000017EA" w:rsidRDefault="006766BF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答：公司所处行业具有巨大的发展空间，单就养殖业来说至少有一万亿的市场空间。公司未来主要还是从事养殖业。现在官方数据披露全国肉猪年出栏约6-7亿头，目前公司年出栏量占全国年出栏量为2%左右，还有很大的提升空间。肉鸡养殖行业相对较小，但与其他行业比，空间也很大。公司还从事其他养殖业，如养羊、奶牛、养鸭等。公司奶牛饲养已有近10的时间，现在已具备一定的规模。养鸭业也有10年的时间，年上市量在全国也是排在前面的。这些只是横向的发展空间。公司还有纵向发展空间，比如食品加工，营销等，这些在吸并报告书中都有提及。</w:t>
            </w:r>
          </w:p>
          <w:p w:rsidR="000017EA" w:rsidRDefault="006766BF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13、问：公司养猪业市场占有率约2%，但区域发展还不平衡，比如西南、华北在占比还较小，公司有何措施进行提高？</w:t>
            </w:r>
          </w:p>
          <w:p w:rsidR="000017EA" w:rsidRDefault="006766BF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答：公司养猪分为华南区、华东区、华北区、西南区、华中区和东北区。公司在西南区发展已有十多年，开始是从事养鸡业，后来才发展养猪业，起步稍晚。华北也差不多这种情况。一个养猪公司从建设、投产到满负荷生产一般需要3-5年时间。公司到一个新区域发展首先会先建立一个公司，慢慢成型后才发散开，复制出第二个、第三个公司。</w:t>
            </w:r>
          </w:p>
          <w:p w:rsidR="000017EA" w:rsidRDefault="006766BF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14、问：公司以前在河南是有公司的，后来退出了，请问是什么原因？</w:t>
            </w:r>
          </w:p>
          <w:p w:rsidR="000017EA" w:rsidRDefault="006766BF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答：主要是与合作方合作得不太理想。</w:t>
            </w:r>
          </w:p>
          <w:p w:rsidR="000017EA" w:rsidRDefault="006766BF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15、问：公司现在鸡、猪产能匹配情况怎么样？</w:t>
            </w:r>
          </w:p>
          <w:p w:rsidR="000017EA" w:rsidRDefault="006766BF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答：公司的各项生产均按照内部制订的计划执行，种鸡和种猪的配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lastRenderedPageBreak/>
              <w:t>套能匹配未来公司发展。公司到每一个地方发展，产能都是匹配的。所有一体化公司一般先建设种鸡、种猪场，</w:t>
            </w:r>
            <w:r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  <w:t>再建设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饲料厂，然后会发展养户，最后建设办公设施，配套齐全的。如果偶有配套不齐，公司会通过从周边兄弟公司调济解决，但这种情况不会持续很久。</w:t>
            </w:r>
          </w:p>
          <w:p w:rsidR="000017EA" w:rsidRDefault="000017E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0017EA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7EA" w:rsidRDefault="006766BF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lastRenderedPageBreak/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7EA" w:rsidRDefault="000017E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</w:p>
        </w:tc>
      </w:tr>
    </w:tbl>
    <w:p w:rsidR="000017EA" w:rsidRDefault="000017EA">
      <w:pPr>
        <w:ind w:firstLineChars="0" w:firstLine="0"/>
      </w:pPr>
    </w:p>
    <w:sectPr w:rsidR="000017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33AFB" w:rsidRDefault="00E33AFB">
      <w:pPr>
        <w:spacing w:line="240" w:lineRule="auto"/>
        <w:ind w:firstLine="420"/>
      </w:pPr>
      <w:r>
        <w:separator/>
      </w:r>
    </w:p>
  </w:endnote>
  <w:endnote w:type="continuationSeparator" w:id="0">
    <w:p w:rsidR="00E33AFB" w:rsidRDefault="00E33AF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17EA" w:rsidRDefault="000017EA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17EA" w:rsidRDefault="000017EA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17EA" w:rsidRDefault="000017E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33AFB" w:rsidRDefault="00E33AFB">
      <w:pPr>
        <w:spacing w:line="240" w:lineRule="auto"/>
        <w:ind w:firstLine="420"/>
      </w:pPr>
      <w:r>
        <w:separator/>
      </w:r>
    </w:p>
  </w:footnote>
  <w:footnote w:type="continuationSeparator" w:id="0">
    <w:p w:rsidR="00E33AFB" w:rsidRDefault="00E33AFB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17EA" w:rsidRDefault="000017EA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17EA" w:rsidRDefault="000017EA">
    <w:pPr>
      <w:pStyle w:val="a8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17EA" w:rsidRDefault="000017EA">
    <w:pPr>
      <w:pStyle w:val="a8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17EA"/>
    <w:rsid w:val="00036E44"/>
    <w:rsid w:val="00053AB8"/>
    <w:rsid w:val="00076DCD"/>
    <w:rsid w:val="00077FB3"/>
    <w:rsid w:val="000866DF"/>
    <w:rsid w:val="00087333"/>
    <w:rsid w:val="000968A3"/>
    <w:rsid w:val="0009693C"/>
    <w:rsid w:val="000A3D85"/>
    <w:rsid w:val="000D12EA"/>
    <w:rsid w:val="000D7AA6"/>
    <w:rsid w:val="000E741C"/>
    <w:rsid w:val="001111B0"/>
    <w:rsid w:val="0011677B"/>
    <w:rsid w:val="0012337E"/>
    <w:rsid w:val="00130BFA"/>
    <w:rsid w:val="001435AD"/>
    <w:rsid w:val="00155E1D"/>
    <w:rsid w:val="0017116E"/>
    <w:rsid w:val="0018366C"/>
    <w:rsid w:val="00183F81"/>
    <w:rsid w:val="001C52CA"/>
    <w:rsid w:val="001C5C18"/>
    <w:rsid w:val="001C66F1"/>
    <w:rsid w:val="00211F32"/>
    <w:rsid w:val="002560E7"/>
    <w:rsid w:val="0025645D"/>
    <w:rsid w:val="00276940"/>
    <w:rsid w:val="00277FF3"/>
    <w:rsid w:val="002C4D43"/>
    <w:rsid w:val="002E011C"/>
    <w:rsid w:val="002E0247"/>
    <w:rsid w:val="00301A41"/>
    <w:rsid w:val="003045AC"/>
    <w:rsid w:val="0032485B"/>
    <w:rsid w:val="00346E6C"/>
    <w:rsid w:val="003523B9"/>
    <w:rsid w:val="00381FAD"/>
    <w:rsid w:val="00385240"/>
    <w:rsid w:val="003C6ACB"/>
    <w:rsid w:val="003E326C"/>
    <w:rsid w:val="0041427A"/>
    <w:rsid w:val="00414447"/>
    <w:rsid w:val="00416B42"/>
    <w:rsid w:val="00451395"/>
    <w:rsid w:val="00496D0F"/>
    <w:rsid w:val="004A5DC3"/>
    <w:rsid w:val="004C4BD2"/>
    <w:rsid w:val="004F0C9A"/>
    <w:rsid w:val="004F2277"/>
    <w:rsid w:val="004F72E9"/>
    <w:rsid w:val="00522A46"/>
    <w:rsid w:val="00526090"/>
    <w:rsid w:val="0055543B"/>
    <w:rsid w:val="00556471"/>
    <w:rsid w:val="00557A6A"/>
    <w:rsid w:val="00572ECA"/>
    <w:rsid w:val="005759E9"/>
    <w:rsid w:val="00576CC3"/>
    <w:rsid w:val="00582382"/>
    <w:rsid w:val="00590245"/>
    <w:rsid w:val="00592D8A"/>
    <w:rsid w:val="005A1ECA"/>
    <w:rsid w:val="005E09B6"/>
    <w:rsid w:val="00625C3E"/>
    <w:rsid w:val="00650238"/>
    <w:rsid w:val="0066424B"/>
    <w:rsid w:val="006766BF"/>
    <w:rsid w:val="00695080"/>
    <w:rsid w:val="006A0AF6"/>
    <w:rsid w:val="006A37A3"/>
    <w:rsid w:val="006C3A91"/>
    <w:rsid w:val="006E147E"/>
    <w:rsid w:val="00703C0B"/>
    <w:rsid w:val="00705844"/>
    <w:rsid w:val="007157B2"/>
    <w:rsid w:val="00732118"/>
    <w:rsid w:val="00735CCD"/>
    <w:rsid w:val="00745695"/>
    <w:rsid w:val="007524AC"/>
    <w:rsid w:val="00761227"/>
    <w:rsid w:val="007971FB"/>
    <w:rsid w:val="007B757A"/>
    <w:rsid w:val="007D6939"/>
    <w:rsid w:val="007E6AE5"/>
    <w:rsid w:val="007E6EB9"/>
    <w:rsid w:val="00834608"/>
    <w:rsid w:val="0083627D"/>
    <w:rsid w:val="008709C4"/>
    <w:rsid w:val="00892FA3"/>
    <w:rsid w:val="008F23C0"/>
    <w:rsid w:val="009017E6"/>
    <w:rsid w:val="009429FB"/>
    <w:rsid w:val="009514B7"/>
    <w:rsid w:val="0096423C"/>
    <w:rsid w:val="0099153B"/>
    <w:rsid w:val="009B46A5"/>
    <w:rsid w:val="009D11E3"/>
    <w:rsid w:val="009D61DA"/>
    <w:rsid w:val="009E36C8"/>
    <w:rsid w:val="009F4AB1"/>
    <w:rsid w:val="00A1272B"/>
    <w:rsid w:val="00A62DD4"/>
    <w:rsid w:val="00A731D5"/>
    <w:rsid w:val="00A73993"/>
    <w:rsid w:val="00A902E4"/>
    <w:rsid w:val="00A96417"/>
    <w:rsid w:val="00AB185D"/>
    <w:rsid w:val="00AC4C30"/>
    <w:rsid w:val="00AD7021"/>
    <w:rsid w:val="00B15D3A"/>
    <w:rsid w:val="00B1634A"/>
    <w:rsid w:val="00B30223"/>
    <w:rsid w:val="00B34A7E"/>
    <w:rsid w:val="00B370DF"/>
    <w:rsid w:val="00B443AB"/>
    <w:rsid w:val="00B54FD6"/>
    <w:rsid w:val="00B620E4"/>
    <w:rsid w:val="00B77DA8"/>
    <w:rsid w:val="00B823F1"/>
    <w:rsid w:val="00B90ABA"/>
    <w:rsid w:val="00B94AA4"/>
    <w:rsid w:val="00BB0C69"/>
    <w:rsid w:val="00BB17A9"/>
    <w:rsid w:val="00BC74EE"/>
    <w:rsid w:val="00BE6751"/>
    <w:rsid w:val="00BF354D"/>
    <w:rsid w:val="00BF36F7"/>
    <w:rsid w:val="00C06092"/>
    <w:rsid w:val="00C16DEA"/>
    <w:rsid w:val="00C4041E"/>
    <w:rsid w:val="00C551CB"/>
    <w:rsid w:val="00C73536"/>
    <w:rsid w:val="00C815AD"/>
    <w:rsid w:val="00C91D47"/>
    <w:rsid w:val="00C940E0"/>
    <w:rsid w:val="00CA3D07"/>
    <w:rsid w:val="00CC1167"/>
    <w:rsid w:val="00CE50FD"/>
    <w:rsid w:val="00CF394F"/>
    <w:rsid w:val="00D05CE5"/>
    <w:rsid w:val="00D06FDF"/>
    <w:rsid w:val="00D32A1F"/>
    <w:rsid w:val="00D348B4"/>
    <w:rsid w:val="00D42455"/>
    <w:rsid w:val="00DB1FED"/>
    <w:rsid w:val="00DB43A5"/>
    <w:rsid w:val="00E26811"/>
    <w:rsid w:val="00E33AFB"/>
    <w:rsid w:val="00E66D72"/>
    <w:rsid w:val="00E66F62"/>
    <w:rsid w:val="00EB2BA8"/>
    <w:rsid w:val="00EC110B"/>
    <w:rsid w:val="00EC1AE0"/>
    <w:rsid w:val="00EC24DF"/>
    <w:rsid w:val="00EC2625"/>
    <w:rsid w:val="00EC4E75"/>
    <w:rsid w:val="00F07F58"/>
    <w:rsid w:val="00F205AA"/>
    <w:rsid w:val="00F303D1"/>
    <w:rsid w:val="00F31101"/>
    <w:rsid w:val="00F566D5"/>
    <w:rsid w:val="00F76BC8"/>
    <w:rsid w:val="00F777F2"/>
    <w:rsid w:val="00F937C0"/>
    <w:rsid w:val="00FB18AE"/>
    <w:rsid w:val="00FB684B"/>
    <w:rsid w:val="00FB79EC"/>
    <w:rsid w:val="00FD1B6F"/>
    <w:rsid w:val="00FD632D"/>
    <w:rsid w:val="00FF2882"/>
    <w:rsid w:val="2AB3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44579"/>
  <w15:chartTrackingRefBased/>
  <w15:docId w15:val="{F7EA020F-E683-4313-B012-32D734DC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link w:val="a4"/>
    <w:uiPriority w:val="99"/>
    <w:semiHidden/>
    <w:rPr>
      <w:kern w:val="2"/>
      <w:sz w:val="18"/>
      <w:szCs w:val="18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character" w:customStyle="1" w:styleId="a7">
    <w:name w:val="页眉 字符"/>
    <w:link w:val="a8"/>
    <w:uiPriority w:val="99"/>
    <w:rPr>
      <w:kern w:val="2"/>
      <w:sz w:val="18"/>
      <w:szCs w:val="18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4">
    <w:name w:val="Balloon Text"/>
    <w:basedOn w:val="a"/>
    <w:link w:val="a3"/>
    <w:uiPriority w:val="99"/>
    <w:unhideWhenUsed/>
    <w:pPr>
      <w:spacing w:line="240" w:lineRule="auto"/>
    </w:pPr>
    <w:rPr>
      <w:sz w:val="18"/>
      <w:szCs w:val="18"/>
    </w:rPr>
  </w:style>
  <w:style w:type="paragraph" w:styleId="a8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443</Words>
  <Characters>2528</Characters>
  <Application>Microsoft Office Word</Application>
  <DocSecurity>0</DocSecurity>
  <PresentationFormat/>
  <Lines>21</Lines>
  <Paragraphs>5</Paragraphs>
  <Slides>0</Slides>
  <Notes>0</Notes>
  <HiddenSlides>0</HiddenSlides>
  <MMClips>0</MMClips>
  <ScaleCrop>false</ScaleCrop>
  <Manager/>
  <Company>Lenovo</Company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LiangWQ</dc:creator>
  <cp:keywords/>
  <dc:description/>
  <cp:lastModifiedBy>罗 楚惟</cp:lastModifiedBy>
  <cp:revision>3</cp:revision>
  <cp:lastPrinted>2015-11-09T08:08:00Z</cp:lastPrinted>
  <dcterms:created xsi:type="dcterms:W3CDTF">2023-05-12T07:26:00Z</dcterms:created>
  <dcterms:modified xsi:type="dcterms:W3CDTF">2023-05-12T08:33:00Z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