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437D6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>证券代码：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300498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证券简称：温氏股份</w:t>
      </w:r>
    </w:p>
    <w:p w:rsidR="00000000" w:rsidRDefault="006437D6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6437D6">
      <w:pPr>
        <w:widowControl w:val="0"/>
        <w:spacing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编号：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20160517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特定对象调研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分析师会议</w:t>
            </w:r>
          </w:p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媒体采访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业绩说明会</w:t>
            </w:r>
          </w:p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新闻发布会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</w:t>
            </w:r>
            <w:r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>
              <w:rPr>
                <w:rFonts w:ascii="宋体" w:hAnsi="宋体" w:hint="eastAsia"/>
                <w:sz w:val="28"/>
                <w:szCs w:val="28"/>
              </w:rPr>
              <w:t>路演活动</w:t>
            </w:r>
          </w:p>
          <w:p w:rsidR="00000000" w:rsidRDefault="006437D6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现场参观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000000" w:rsidRDefault="006437D6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其他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请文字说明其他活动内容）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shd w:val="clear" w:color="auto" w:fill="FFFFFF"/>
              <w:spacing w:line="360" w:lineRule="atLeast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国泰君安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--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王乾、钱浩、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谢芝优；华安财保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--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张文浩；中信建投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--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肖洪彬；北京润达盛安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--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孙梦桥；国都证券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--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李韵；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嘉实基金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--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姚爽；北京合正普惠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--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冯智强；新时代证券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--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何敏志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2016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17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北京市西城区金融大街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28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号盈泰中心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号楼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梅锦方、温秋根、覃勇进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投资者关系活动主要内容介绍</w:t>
            </w:r>
          </w:p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pStyle w:val="ae"/>
              <w:numPr>
                <w:ilvl w:val="0"/>
                <w:numId w:val="1"/>
              </w:numPr>
              <w:shd w:val="clear" w:color="auto" w:fill="FFFFFF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公司未来发展基本情况介绍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公司每五年做一个五年规划，今年整体生产经营管理均稳步推进，发展势头稳定。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具体来看，养殖方面出栏量保持每年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10-20%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的增长，今年由于猪价上涨，一季度效益很好。资本市场方面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年度定增正在申报中，刚受理材料。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未来继续保持猪、鸡主产业的稳步发展，探索牛和鸭养殖业的利润爆发点，寻求下游屠宰加工产业在原有基础上有所突破。养殖设备产业正在逐步扩大规模，对养殖主业的发展有很大促进作用；大华农的兽药业务为温氏安全生产作出重要贡献；还有相关的其他公司（如环保）都为主业发展提供重要支持。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二、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Q&amp;A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、今年的生产目标？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答：总体平稳增长，按照规划每年生猪出栏量保持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15-20%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的增长，有一定波动。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lastRenderedPageBreak/>
              <w:t>2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、考虑到今年猪价较高，是否会增加出栏量？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不会在计划基础上增加。一方面猪舍建设需要一定时间，另一方面猪苗到肉猪的养殖时长较固定，难以短期内迅速增加出栏量。农业生产具有周期，出栏量等极短期可以控制（几天内），但是短期内无法迅速提高。公司按计划平稳增加出栏量，短期内难以调节，目前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23-24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。现在最佳出栏肉猪的重量在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230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斤左右（五元杂交猪）。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、玉米价格下跌的背景下公司目前养殖成本如何？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答：生猪成本不到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斤，黄羽鸡成本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5.6-5.7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元。有一定波动，因为影响成本的因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素较多，例如去年对农户有奖励，因此成本相对高一些。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、现阶段黄羽鸡价格如何？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答：大约每斤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元多，一方面当前成本不算太高，另一方面白羽鸡价格上涨对黄羽鸡价格有支撑作用。黄羽鸡不同白羽鸡，白羽鸡有从国外引种祖代到培育父母代到生产商品代的生产流程。黄羽鸡养殖门槛低，散养户较多，由于父母代可产蛋多，养殖规模可以快速扩大或缩减，因此价格波动频繁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、黄羽鸡的历史盈利情况如何？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答：养鸡的盈利水平较低，大约为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1.5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只或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0.5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斤，养鸡的料肉比为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2.8:1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，生猪的料肉比为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2.4:1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。由于一只母鸡可以产出数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量较多的蛋，一头母猪只能产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多头肉猪，因此肉鸡的繁殖成本较低，但是饲料成本较高。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、增发项目主要用途？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答：募集资金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11.6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亿元，项目资金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18.9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亿元，用于在东北发展养猪和养牛项目。养猪项目模式上与南方一致，采用“公司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农户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(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或家庭农场）”的形式，即公司建种猪场，之后猪苗到肉猪的生产环节由农户完成。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、公司未来较长一段时间的发展路径如何？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答：公司发展路径清晰：在生猪养殖上要达到全国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1/10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的份额，从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1535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万头增长到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5000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万头，年均增长率约为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10%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；黄羽鸡、蛋鸡养殖稳步发展，牛和鸭也有涉及，但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体量不大，肉鸭出栏量大约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2000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万只左右，肉牛养殖正在向北方推进，深海鱼养殖目前已经是第三年，体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lastRenderedPageBreak/>
              <w:t>量大约有几个亿，但还在发展中。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公司开设生鲜店方面还处于探索阶段。今年的目标是扩大到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100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家左右。在经营方式方面，我们采取与原来的经销商合作的方式，公司对生鲜店控股但持股比例不超过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50%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，直销且仅卖温氏的产品，产品覆盖猪肉、鸡肉、鱼肉、牛奶、蛋类、鸭肉等生鲜产品，未来考虑与其他供应商合作，搭配蔬菜等品种。公司的营销公司组织管理生鲜店。目前公司的屠宰收入约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亿元多，其中只有肉鸡屠宰，没有生猪屠宰。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月股票解禁后由于量较大，公司内部有什么安排？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答：从目前的股东结构来说，公司创业股东中的前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名股东占份额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50%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以上，原有大华农的股东转过去的在之前就可以卖出，不必非要等到解禁的时候。另一方面，公司将前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大股东成立了一个沟通交流平台，平时沟通交流较多，解禁前会专门请人做财富管理的学习辅导，解禁后抛售压力不大。这些股东大多是公司的创业股东，多数资产达到千万级甚至亿级，对公司有强烈的感情和信心，卖出动力不足，未来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10-20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年内可以维持股权的相对稳定。公司历年分红较为丰厚，也有助于保持股权长期稳定地掌握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在温氏的员工股东手里。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、目前畜禽养殖设备销售情况？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答：公司畜禽养殖设备生产除了向温氏内部提供设备，也面向社会销售。去年生产设备收入大约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亿左右，今年由于养殖利润丰厚，很多养殖企业扩张产能，目前销售情况非常好，甚至供不应求。这也从侧面折射出全社会扩大产能的情况，下半年公司将进一步提高设备产量。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、对猪周期和未来趋势的看法？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2013-2014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年期间，猪价在底部长期反复调整，随着生产技术的提高，母猪生产性能提高，即每头母猪可提供的肉猪数量增加，猪价难以上涨。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2015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3-4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月开始迎来本轮上涨，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主要原因是环保力度加大和价格长期处在低位，能繁母猪存栏持续减少。之前的猪周期大约为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3-4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年，未来会适当延长，一旦供大于需，价格下降的速度可能也会较快。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上个周期（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2011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年）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大约为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13-14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头，本轮周期（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年）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大约为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16-18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头，国外平均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在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20-21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头左右。国内每个周期之下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逐步提高，当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保持稳定的时候，周期特性完全改变。国内养猪业集约化程度较低，进程较缓慢，本轮调整对集约化程度提高有好处。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、本轮周期特点与之前不同，是行业集约化程度提高还是因为高额利润吸引了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更多的散养户扩大规模？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答：目前主要是后者居多。现在进入行业的都是大资金的资本投入较多，进入门槛提高，例如饲料行业企业转向养殖布局，这些企业都具有一定规模，他们的进入有利于进一步提高集约化水平。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12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、有没有其他企业来争抢与公司合作的农户？</w:t>
            </w:r>
          </w:p>
          <w:p w:rsidR="00000000" w:rsidRDefault="006437D6">
            <w:pPr>
              <w:pStyle w:val="ae"/>
              <w:shd w:val="clear" w:color="auto" w:fill="FFFFFF"/>
              <w:spacing w:line="24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少数地区存在一定竞争，但是大多数情况下不存在这类竞争。在公司已经布点的区域，其他企业也会避开正面竞争。公司在除新疆、西藏、甘肃等边远地区外在全国范围内均有布局，覆盖面很广，各地成本差异不大，例如东北粮价较低但建设成本较高。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13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、公司今年的分红政策如何？</w:t>
            </w:r>
          </w:p>
          <w:p w:rsidR="00000000" w:rsidRDefault="006437D6">
            <w:pPr>
              <w:spacing w:line="240" w:lineRule="auto"/>
              <w:ind w:firstLine="480"/>
              <w:rPr>
                <w:rFonts w:ascii="宋体" w:hAnsi="宋体" w:cs="宋体" w:hint="eastAsia"/>
                <w:bCs/>
                <w:color w:val="393939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  <w:shd w:val="clear" w:color="auto" w:fill="FFFFFF"/>
              </w:rPr>
              <w:t>答：公</w:t>
            </w: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  <w:shd w:val="clear" w:color="auto" w:fill="FFFFFF"/>
              </w:rPr>
              <w:t>司希望多分红，预计今年利润的</w:t>
            </w: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  <w:shd w:val="clear" w:color="auto" w:fill="FFFFFF"/>
              </w:rPr>
              <w:t>30%</w:t>
            </w: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  <w:shd w:val="clear" w:color="auto" w:fill="FFFFFF"/>
              </w:rPr>
              <w:t>左右用于分红。按照之前的传统，每年都有</w:t>
            </w: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  <w:shd w:val="clear" w:color="auto" w:fill="FFFFFF"/>
              </w:rPr>
              <w:t>1-2</w:t>
            </w: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  <w:shd w:val="clear" w:color="auto" w:fill="FFFFFF"/>
              </w:rPr>
              <w:t>次的送股或现金分红，当实业建设不需要太多资金的时候温氏更倾向于分红。</w:t>
            </w:r>
          </w:p>
          <w:p w:rsidR="00000000" w:rsidRDefault="006437D6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（全文完）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437D6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2016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</w:tbl>
    <w:p w:rsidR="00000000" w:rsidRDefault="006437D6">
      <w:pPr>
        <w:ind w:firstLineChars="0" w:firstLine="0"/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437D6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6437D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437D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437D6">
    <w:pPr>
      <w:pStyle w:val="a7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  <w:p w:rsidR="00000000" w:rsidRDefault="006437D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437D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437D6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6437D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437D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437D6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437D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2971"/>
    <w:multiLevelType w:val="singleLevel"/>
    <w:tmpl w:val="573C2971"/>
    <w:lvl w:ilvl="0">
      <w:start w:val="1"/>
      <w:numFmt w:val="chineseCounting"/>
      <w:suff w:val="nothing"/>
      <w:lvlText w:val="%1、"/>
      <w:lvlJc w:val="left"/>
    </w:lvl>
  </w:abstractNum>
  <w:num w:numId="1" w16cid:durableId="122305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21504"/>
    <w:rsid w:val="00076DCD"/>
    <w:rsid w:val="000866DF"/>
    <w:rsid w:val="00087333"/>
    <w:rsid w:val="000A7FFA"/>
    <w:rsid w:val="000D12EA"/>
    <w:rsid w:val="000D6895"/>
    <w:rsid w:val="000D7AA6"/>
    <w:rsid w:val="000F3A36"/>
    <w:rsid w:val="00102FE0"/>
    <w:rsid w:val="00114BBF"/>
    <w:rsid w:val="0012337E"/>
    <w:rsid w:val="00124348"/>
    <w:rsid w:val="00130866"/>
    <w:rsid w:val="00130BFA"/>
    <w:rsid w:val="001429C8"/>
    <w:rsid w:val="001468A6"/>
    <w:rsid w:val="00155E1D"/>
    <w:rsid w:val="0018366C"/>
    <w:rsid w:val="00183F81"/>
    <w:rsid w:val="001C66F1"/>
    <w:rsid w:val="001C6DD9"/>
    <w:rsid w:val="001C7AE5"/>
    <w:rsid w:val="001E4513"/>
    <w:rsid w:val="00205ED5"/>
    <w:rsid w:val="00247E09"/>
    <w:rsid w:val="0025645D"/>
    <w:rsid w:val="002612E4"/>
    <w:rsid w:val="00277FF3"/>
    <w:rsid w:val="002837EC"/>
    <w:rsid w:val="002B0E9D"/>
    <w:rsid w:val="002B44CB"/>
    <w:rsid w:val="002E011C"/>
    <w:rsid w:val="00301A41"/>
    <w:rsid w:val="003045AC"/>
    <w:rsid w:val="00313431"/>
    <w:rsid w:val="003134CC"/>
    <w:rsid w:val="00330E8C"/>
    <w:rsid w:val="00346E6C"/>
    <w:rsid w:val="003653FB"/>
    <w:rsid w:val="00376464"/>
    <w:rsid w:val="00376E34"/>
    <w:rsid w:val="00381FAD"/>
    <w:rsid w:val="00385240"/>
    <w:rsid w:val="003B0030"/>
    <w:rsid w:val="003E326C"/>
    <w:rsid w:val="003E3395"/>
    <w:rsid w:val="003F1A79"/>
    <w:rsid w:val="003F6126"/>
    <w:rsid w:val="0040343E"/>
    <w:rsid w:val="00414447"/>
    <w:rsid w:val="00416B42"/>
    <w:rsid w:val="004265AF"/>
    <w:rsid w:val="00451395"/>
    <w:rsid w:val="0045555B"/>
    <w:rsid w:val="0048550D"/>
    <w:rsid w:val="00496D0F"/>
    <w:rsid w:val="004A5DC3"/>
    <w:rsid w:val="004A5F38"/>
    <w:rsid w:val="004E0719"/>
    <w:rsid w:val="004F0C9A"/>
    <w:rsid w:val="00557A6A"/>
    <w:rsid w:val="005759E9"/>
    <w:rsid w:val="00576CC3"/>
    <w:rsid w:val="00582382"/>
    <w:rsid w:val="00592D8A"/>
    <w:rsid w:val="005A26E1"/>
    <w:rsid w:val="005E09B6"/>
    <w:rsid w:val="005F0423"/>
    <w:rsid w:val="00625C3E"/>
    <w:rsid w:val="006437D6"/>
    <w:rsid w:val="00650238"/>
    <w:rsid w:val="00665C42"/>
    <w:rsid w:val="006A0AF6"/>
    <w:rsid w:val="006A37A3"/>
    <w:rsid w:val="006A48F4"/>
    <w:rsid w:val="006C01E2"/>
    <w:rsid w:val="006D2F1F"/>
    <w:rsid w:val="006D6D85"/>
    <w:rsid w:val="006E147E"/>
    <w:rsid w:val="00703C0B"/>
    <w:rsid w:val="007157B2"/>
    <w:rsid w:val="00745695"/>
    <w:rsid w:val="00764901"/>
    <w:rsid w:val="007720E6"/>
    <w:rsid w:val="007957BF"/>
    <w:rsid w:val="007B757A"/>
    <w:rsid w:val="007B7ECE"/>
    <w:rsid w:val="007D6939"/>
    <w:rsid w:val="007E6AE5"/>
    <w:rsid w:val="007E6EB9"/>
    <w:rsid w:val="00832F04"/>
    <w:rsid w:val="00835C73"/>
    <w:rsid w:val="0083627D"/>
    <w:rsid w:val="00845905"/>
    <w:rsid w:val="00853EB6"/>
    <w:rsid w:val="008709C4"/>
    <w:rsid w:val="00877C44"/>
    <w:rsid w:val="00885F6B"/>
    <w:rsid w:val="0089098D"/>
    <w:rsid w:val="008A650F"/>
    <w:rsid w:val="008B29DF"/>
    <w:rsid w:val="008B51C9"/>
    <w:rsid w:val="008F23C0"/>
    <w:rsid w:val="009429FB"/>
    <w:rsid w:val="009514B7"/>
    <w:rsid w:val="009529BB"/>
    <w:rsid w:val="0096423C"/>
    <w:rsid w:val="0099153B"/>
    <w:rsid w:val="009B3D19"/>
    <w:rsid w:val="009B46A5"/>
    <w:rsid w:val="009D58F6"/>
    <w:rsid w:val="009D61DA"/>
    <w:rsid w:val="009E20BE"/>
    <w:rsid w:val="009E36C8"/>
    <w:rsid w:val="009F04D3"/>
    <w:rsid w:val="009F4AB1"/>
    <w:rsid w:val="00A07A4B"/>
    <w:rsid w:val="00A100B1"/>
    <w:rsid w:val="00A35155"/>
    <w:rsid w:val="00A62DD4"/>
    <w:rsid w:val="00A731D5"/>
    <w:rsid w:val="00A73993"/>
    <w:rsid w:val="00A902E4"/>
    <w:rsid w:val="00AB185D"/>
    <w:rsid w:val="00AC4C30"/>
    <w:rsid w:val="00AD2AD6"/>
    <w:rsid w:val="00AF6B62"/>
    <w:rsid w:val="00B07DED"/>
    <w:rsid w:val="00B1634A"/>
    <w:rsid w:val="00B24B64"/>
    <w:rsid w:val="00B30223"/>
    <w:rsid w:val="00B370DF"/>
    <w:rsid w:val="00B443AB"/>
    <w:rsid w:val="00B620E4"/>
    <w:rsid w:val="00B62D61"/>
    <w:rsid w:val="00B823F1"/>
    <w:rsid w:val="00B879E7"/>
    <w:rsid w:val="00BB0C69"/>
    <w:rsid w:val="00BB17A9"/>
    <w:rsid w:val="00BB47AF"/>
    <w:rsid w:val="00BE49A3"/>
    <w:rsid w:val="00BE76A5"/>
    <w:rsid w:val="00BF3138"/>
    <w:rsid w:val="00BF354D"/>
    <w:rsid w:val="00BF36F7"/>
    <w:rsid w:val="00C05C34"/>
    <w:rsid w:val="00C12EF7"/>
    <w:rsid w:val="00C276DE"/>
    <w:rsid w:val="00C36EA1"/>
    <w:rsid w:val="00C551CB"/>
    <w:rsid w:val="00C73536"/>
    <w:rsid w:val="00C815AD"/>
    <w:rsid w:val="00C91D47"/>
    <w:rsid w:val="00CA3D07"/>
    <w:rsid w:val="00CA4657"/>
    <w:rsid w:val="00CC1167"/>
    <w:rsid w:val="00CC6366"/>
    <w:rsid w:val="00CF394F"/>
    <w:rsid w:val="00D05CE5"/>
    <w:rsid w:val="00D32A1F"/>
    <w:rsid w:val="00D42455"/>
    <w:rsid w:val="00D55420"/>
    <w:rsid w:val="00D70901"/>
    <w:rsid w:val="00D72C87"/>
    <w:rsid w:val="00DB43A5"/>
    <w:rsid w:val="00DC3176"/>
    <w:rsid w:val="00DE2CD7"/>
    <w:rsid w:val="00E2285D"/>
    <w:rsid w:val="00E26811"/>
    <w:rsid w:val="00E714DB"/>
    <w:rsid w:val="00EB5BFF"/>
    <w:rsid w:val="00EC24DF"/>
    <w:rsid w:val="00EC2625"/>
    <w:rsid w:val="00EC4E75"/>
    <w:rsid w:val="00EC56F6"/>
    <w:rsid w:val="00EF252E"/>
    <w:rsid w:val="00F07F58"/>
    <w:rsid w:val="00F205AA"/>
    <w:rsid w:val="00F303D1"/>
    <w:rsid w:val="00F33AC3"/>
    <w:rsid w:val="00F47385"/>
    <w:rsid w:val="00F566D5"/>
    <w:rsid w:val="00F61379"/>
    <w:rsid w:val="00F66D93"/>
    <w:rsid w:val="00F937C0"/>
    <w:rsid w:val="00FB18AE"/>
    <w:rsid w:val="00FB684B"/>
    <w:rsid w:val="00FD1B6F"/>
    <w:rsid w:val="00FF2882"/>
    <w:rsid w:val="01DF3F5B"/>
    <w:rsid w:val="058C640F"/>
    <w:rsid w:val="0D5711B7"/>
    <w:rsid w:val="0DE10DF5"/>
    <w:rsid w:val="0FE83D6C"/>
    <w:rsid w:val="11201E2A"/>
    <w:rsid w:val="1BB92F69"/>
    <w:rsid w:val="21C43983"/>
    <w:rsid w:val="2C754647"/>
    <w:rsid w:val="3FAC3615"/>
    <w:rsid w:val="47872108"/>
    <w:rsid w:val="72FB6054"/>
    <w:rsid w:val="78D0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AC5C87-AE86-47BA-A049-CD3256AD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rPr>
      <w:sz w:val="21"/>
      <w:szCs w:val="21"/>
    </w:rPr>
  </w:style>
  <w:style w:type="character" w:customStyle="1" w:styleId="a4">
    <w:name w:val="页眉 字符"/>
    <w:link w:val="a5"/>
    <w:uiPriority w:val="99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character" w:customStyle="1" w:styleId="aa">
    <w:name w:val="批注文字 字符"/>
    <w:basedOn w:val="a0"/>
    <w:link w:val="ab"/>
    <w:uiPriority w:val="99"/>
    <w:semiHidden/>
    <w:rPr>
      <w:kern w:val="2"/>
      <w:sz w:val="21"/>
      <w:szCs w:val="22"/>
    </w:rPr>
  </w:style>
  <w:style w:type="character" w:customStyle="1" w:styleId="ac">
    <w:name w:val="批注主题 字符"/>
    <w:basedOn w:val="aa"/>
    <w:link w:val="ad"/>
    <w:uiPriority w:val="99"/>
    <w:semiHidden/>
    <w:rPr>
      <w:b/>
      <w:bCs/>
      <w:kern w:val="2"/>
      <w:sz w:val="21"/>
      <w:szCs w:val="22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Balloon Text"/>
    <w:basedOn w:val="a"/>
    <w:link w:val="a8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Normal (Web)"/>
    <w:basedOn w:val="a"/>
    <w:uiPriority w:val="99"/>
    <w:unhideWhenUsed/>
    <w:pPr>
      <w:spacing w:before="100" w:beforeAutospacing="1" w:after="100" w:afterAutospacing="1"/>
    </w:pPr>
    <w:rPr>
      <w:kern w:val="0"/>
      <w:sz w:val="24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d">
    <w:name w:val="annotation subject"/>
    <w:basedOn w:val="ab"/>
    <w:next w:val="ab"/>
    <w:link w:val="ac"/>
    <w:uiPriority w:val="99"/>
    <w:unhideWhenUsed/>
    <w:rPr>
      <w:b/>
      <w:bCs/>
    </w:rPr>
  </w:style>
  <w:style w:type="paragraph" w:styleId="ab">
    <w:name w:val="annotation text"/>
    <w:basedOn w:val="a"/>
    <w:link w:val="aa"/>
    <w:uiPriority w:val="99"/>
    <w:unhideWhenUsed/>
  </w:style>
  <w:style w:type="paragraph" w:styleId="af">
    <w:name w:val="Revision"/>
    <w:hidden/>
    <w:uiPriority w:val="99"/>
    <w:unhideWhenUsed/>
    <w:rsid w:val="006437D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Lenovo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LiangWQ</dc:creator>
  <cp:keywords/>
  <dc:description/>
  <cp:lastModifiedBy>罗 楚惟</cp:lastModifiedBy>
  <cp:revision>2</cp:revision>
  <dcterms:created xsi:type="dcterms:W3CDTF">2023-05-12T07:27:00Z</dcterms:created>
  <dcterms:modified xsi:type="dcterms:W3CDTF">2023-05-12T07:27:00Z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