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C9211F">
        <w:rPr>
          <w:rFonts w:ascii="宋体" w:hAnsi="宋体"/>
          <w:bCs/>
          <w:iCs/>
          <w:color w:val="000000"/>
          <w:sz w:val="18"/>
          <w:szCs w:val="18"/>
        </w:rPr>
        <w:t>009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FC6AD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FC6ADE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368" w:rsidRPr="00A33368" w:rsidRDefault="00A33368" w:rsidP="00A33368">
            <w:pPr>
              <w:snapToGrid w:val="0"/>
              <w:spacing w:line="360" w:lineRule="auto"/>
              <w:ind w:firstLine="42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2017年5月18日，本公司参加由广东上市公司协会和约调研数据平台共同主办的“2017广东上市公司投资者关系管理月活动——机构投资者交流会”，进行了一对多交流，现场与本公司交流机构数十家，具体如下：</w:t>
            </w:r>
          </w:p>
          <w:p w:rsidR="000A5CD6" w:rsidRPr="00FC6ADE" w:rsidRDefault="00C9211F" w:rsidP="00A33368">
            <w:pPr>
              <w:snapToGrid w:val="0"/>
              <w:spacing w:line="360" w:lineRule="auto"/>
              <w:ind w:firstLine="42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太平洋证券 程晓东；平安证券 刘彪；圆石资管 李桦瑛；国信证券 余方升；Capital Dynamics Asset Management（HK） Wu </w:t>
            </w:r>
            <w:proofErr w:type="spellStart"/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Xiongwei</w:t>
            </w:r>
            <w:proofErr w:type="spellEnd"/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；中邮证券 李海华、吴旻</w:t>
            </w:r>
            <w:r w:rsidR="00CC25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；民生证券 汪玲；国金证券 郭一凡；申万宏源 李嘉庆；招商证券 杨洋</w:t>
            </w:r>
            <w:r w:rsidR="00FC6AD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等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C9211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C9211F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18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C9211F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广州市珠江宾馆三楼多功能厅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C9211F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1、公司如何看待今年的猪价和鸡价？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猪价目前处于相对低位，有分析人士预测，全年均价可能处在7.5元/斤上下。过去一两年猪价行情较好，资本大举涌入生猪养殖行业，目前猪价下调，市场将更加理性，每斤七块多是较为合理的价格；黄鸡价格受H7N9影响，上半年持续处于低位，价格最低点已经过去，目前已触底反弹，量价逐渐恢复。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2、猪肉进口量增加，影响如何？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答：目前国内</w:t>
            </w:r>
            <w:r w:rsidR="00CC2599" w:rsidRPr="00907C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生猪</w:t>
            </w:r>
            <w:r w:rsidR="00907C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价格下调，进口猪肉不再有之前那么大的价格优势；进口猪肉</w:t>
            </w: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为冻肉，不太符合国人饮食习惯；国内猪肉消费市场巨大，进口猪肉所占市场份额较小。综上，进口猪肉对国内生猪企业影响不大。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3、对于饲料业等上游产业，公司如何考虑？饲料结构调整是否会影响肉猪质量？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答：公司饲料生产量约1000万吨/年，产量处于行业前列，公司新场建设速度较快，所有饲料均自产自用，没有外卖。饲料原料价格会随市场行情波动，公司会依此适当调整</w:t>
            </w:r>
            <w:r w:rsidR="00CC2599"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原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料</w:t>
            </w:r>
            <w:r w:rsidR="00CC2599"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配方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结构，从而优化成本。公司拥有非常科学成熟的饲料配方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lastRenderedPageBreak/>
              <w:t>体系，</w:t>
            </w:r>
            <w:r w:rsid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原料配方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结构调整对肉</w:t>
            </w: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猪质量不会产生影响。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4、公司是否考虑发展高档猪？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答：公司有天露黑猪等</w:t>
            </w:r>
            <w:r w:rsidR="00CC2599"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土猪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产</w:t>
            </w: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品，但所占份额不高，利润情况较为理想。公司策略是先做出规模优势，再做好细分领域，做出精品产品，提高产品附加值。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5、公司养猪业务成长空间有多大？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答：公司2016年出栏商品肉猪1713万头，出栏量全国第一，但仅占全国市场份额的两个多百分点。特别</w:t>
            </w:r>
            <w:r w:rsidR="00907C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是</w:t>
            </w: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基于环保等背景下的散户加速退出，市场空间巨大，公司认为这是一个朝阳行业。公司研发、管理、经营等优势较大，成本控制能力居于行业领先地位，出栏商品肉猪除了保持</w:t>
            </w:r>
            <w:r w:rsidR="00907C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每年</w:t>
            </w: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约10%的增长，肉猪体重也有提高。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6、环保政策对新猪场建设是否有影响？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严格落实环保要求，不在禁养区、水源地开展相关业务。开辟新区域前，在选址上，对加强与当地政府的沟通，确保当地未来不被划为禁养区；在生产过程当中，公司自己的种猪场和合作农户均严格落实环保要求，为农户提供环保技术指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导，</w:t>
            </w:r>
            <w:r w:rsidR="00CC2599"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要求其配套建设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环保设</w:t>
            </w:r>
            <w:r w:rsidR="00CC2599"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施，同时公司加强设施运行监督管理，使其达到规范要求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。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7、公司是否考虑进军下游屠宰业？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答：目前屠宰业集中度仍较高。公司的商品肉猪多卖给下游大型批发商、屠宰厂等，以县一级批发商为主，其自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行完成屠宰环节；提供给香港的冰鲜鸡由公司自行屠宰；提供给生鲜门店的肉猪由</w:t>
            </w:r>
            <w:r w:rsidR="00CC2599"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当地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屠宰场代宰，随着</w:t>
            </w:r>
            <w:r w:rsidR="00CC2599"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今后</w:t>
            </w:r>
            <w:r w:rsidRPr="00907C15">
              <w:rPr>
                <w:rFonts w:ascii="宋体" w:hAnsi="宋体" w:cs="宋体" w:hint="eastAsia"/>
                <w:bCs/>
                <w:kern w:val="0"/>
                <w:szCs w:val="21"/>
                <w:shd w:val="clear" w:color="auto" w:fill="FFFFFF"/>
              </w:rPr>
              <w:t>生鲜门店项目的扩大，公司可能尝试建立屠宰和物流中心。</w:t>
            </w:r>
          </w:p>
          <w:p w:rsidR="00C9211F" w:rsidRPr="00C9211F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8、生鲜业务进展和店主盈利情况如何？</w:t>
            </w:r>
          </w:p>
          <w:p w:rsidR="007B5A3D" w:rsidRPr="00573CFB" w:rsidRDefault="00C9211F" w:rsidP="00C9211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答：项目进展比较顺利，至4月底，已开业门店约80家。目前单店平均日销售额约1万，店主毛利率15%—20%。年内计划开业生鲜门店约200家。生鲜业务将公司产业链进一步延长，促进屠宰与物流等环节的布局考虑。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C9211F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907C1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5ECB" w:rsidRDefault="00E65ECB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E65ECB" w:rsidRDefault="00E65ECB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5ECB" w:rsidRDefault="00E65ECB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E65ECB" w:rsidRDefault="00E65ECB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0634148">
    <w:abstractNumId w:val="4"/>
  </w:num>
  <w:num w:numId="2" w16cid:durableId="88620999">
    <w:abstractNumId w:val="0"/>
  </w:num>
  <w:num w:numId="3" w16cid:durableId="1725526635">
    <w:abstractNumId w:val="2"/>
  </w:num>
  <w:num w:numId="4" w16cid:durableId="922373803">
    <w:abstractNumId w:val="3"/>
  </w:num>
  <w:num w:numId="5" w16cid:durableId="78153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127C"/>
    <w:rsid w:val="000B5813"/>
    <w:rsid w:val="000D12EA"/>
    <w:rsid w:val="000D7AA6"/>
    <w:rsid w:val="000F4E43"/>
    <w:rsid w:val="000F6580"/>
    <w:rsid w:val="001009DB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0A70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51C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07C15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33368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3477"/>
    <w:rsid w:val="00C5400A"/>
    <w:rsid w:val="00C551CB"/>
    <w:rsid w:val="00C73485"/>
    <w:rsid w:val="00C73536"/>
    <w:rsid w:val="00C815AD"/>
    <w:rsid w:val="00C853AF"/>
    <w:rsid w:val="00C9135A"/>
    <w:rsid w:val="00C91D47"/>
    <w:rsid w:val="00C9211F"/>
    <w:rsid w:val="00C977D8"/>
    <w:rsid w:val="00CA3D07"/>
    <w:rsid w:val="00CA4F2D"/>
    <w:rsid w:val="00CB0830"/>
    <w:rsid w:val="00CC1167"/>
    <w:rsid w:val="00CC2599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65ECB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C6ADE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2023-05-12T07:31:00Z</dcterms:created>
  <dcterms:modified xsi:type="dcterms:W3CDTF">2023-05-12T07:31:00Z</dcterms:modified>
  <cp:category/>
</cp:coreProperties>
</file>