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FCE" w:rsidRDefault="00F83FC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 w:rsidR="00F83FCE" w:rsidRDefault="00F83FC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F83FCE" w:rsidRDefault="00F83FCE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编号：201</w:t>
      </w:r>
      <w:r>
        <w:rPr>
          <w:rFonts w:ascii="宋体" w:hAnsi="宋体"/>
          <w:bCs/>
          <w:iCs/>
          <w:color w:val="000000"/>
          <w:sz w:val="18"/>
          <w:szCs w:val="18"/>
        </w:rPr>
        <w:t>800</w:t>
      </w:r>
      <w:r w:rsidR="00AB6364">
        <w:rPr>
          <w:rFonts w:ascii="宋体" w:hAnsi="宋体" w:hint="eastAsia"/>
          <w:bCs/>
          <w:iCs/>
          <w:color w:val="000000"/>
          <w:sz w:val="18"/>
          <w:szCs w:val="18"/>
        </w:rPr>
        <w:t>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F83FCE" w:rsidRDefault="00F83FCE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2718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F83F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27182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F83FCE" w:rsidRDefault="00F83FC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F83FCE" w:rsidRDefault="00F83FC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□其他 （请文字说明其他活动内容）      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AB636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长盛基金-王建；博时基金-王俊、李洋；华宝基金-贺喆；诺安基金-丁云波；景顺长城-李冉；海富通基金-陶敏；九泰基金-刘心任等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AB636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AB636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  <w:r w:rsidR="00AB636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、201</w:t>
            </w:r>
            <w:r w:rsidR="00AB636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 w:rsidR="00AB636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年5月10日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AB636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上海新天地朗廷酒店、上海浦东香格里拉酒店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梅锦方 </w:t>
            </w:r>
            <w:r w:rsidR="00AB636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F83FCE" w:rsidRDefault="00F83FC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AD3641" w:rsidP="00AD3641"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你认为当前猪周期见底的标志性事件是什么？</w:t>
            </w:r>
          </w:p>
          <w:p w:rsidR="00AD3641" w:rsidRDefault="00AD3641" w:rsidP="00AD3641">
            <w:pPr>
              <w:spacing w:line="360" w:lineRule="auto"/>
              <w:ind w:left="360"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答：当前在去库存，我认为去产能后猪周期才见底。</w:t>
            </w:r>
          </w:p>
          <w:p w:rsidR="00AD3641" w:rsidRDefault="00AD3641" w:rsidP="00AD3641"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你对猪价怎么看</w:t>
            </w:r>
            <w:r w:rsidR="002A5D80">
              <w:rPr>
                <w:rFonts w:ascii="宋体" w:hAnsi="宋体" w:cs="宋体" w:hint="eastAsia"/>
                <w:kern w:val="0"/>
                <w:szCs w:val="21"/>
              </w:rPr>
              <w:t>，是否跌到最低点了</w:t>
            </w:r>
            <w:r>
              <w:rPr>
                <w:rFonts w:ascii="宋体" w:hAnsi="宋体" w:cs="宋体" w:hint="eastAsia"/>
                <w:kern w:val="0"/>
                <w:szCs w:val="21"/>
              </w:rPr>
              <w:t>？</w:t>
            </w:r>
          </w:p>
          <w:p w:rsidR="002A5D80" w:rsidRDefault="00AD3641" w:rsidP="002A5D80">
            <w:pPr>
              <w:spacing w:line="360" w:lineRule="auto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答：我认为这一轮猪价下跌的阶段性底部应该是当前的价格水平了，近期或有小的反弹，但总体</w:t>
            </w:r>
            <w:r w:rsidR="002A5D80">
              <w:rPr>
                <w:rFonts w:ascii="宋体" w:hAnsi="宋体" w:cs="宋体" w:hint="eastAsia"/>
                <w:kern w:val="0"/>
                <w:szCs w:val="21"/>
              </w:rPr>
              <w:t>上还应</w:t>
            </w:r>
            <w:r>
              <w:rPr>
                <w:rFonts w:ascii="宋体" w:hAnsi="宋体" w:cs="宋体" w:hint="eastAsia"/>
                <w:kern w:val="0"/>
                <w:szCs w:val="21"/>
              </w:rPr>
              <w:t>在底部盘整，只有去产能充分后才可能</w:t>
            </w:r>
            <w:r w:rsidR="002A5D80">
              <w:rPr>
                <w:rFonts w:ascii="宋体" w:hAnsi="宋体" w:cs="宋体" w:hint="eastAsia"/>
                <w:kern w:val="0"/>
                <w:szCs w:val="21"/>
              </w:rPr>
              <w:t>进入下一个上升周期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2A5D80" w:rsidRDefault="002A5D80" w:rsidP="002A5D80"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公司今明两年的肉鸡、肉猪销售量规划如何？</w:t>
            </w:r>
          </w:p>
          <w:p w:rsidR="002A5D80" w:rsidRDefault="002A5D80" w:rsidP="002A5D80">
            <w:pPr>
              <w:spacing w:line="360" w:lineRule="auto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 w:rsidRPr="002A5D80">
              <w:rPr>
                <w:rFonts w:ascii="宋体" w:hAnsi="宋体" w:cs="宋体" w:hint="eastAsia"/>
                <w:kern w:val="0"/>
                <w:szCs w:val="21"/>
              </w:rPr>
              <w:t>肉鸡中的毛鸡销售</w:t>
            </w:r>
            <w:r>
              <w:rPr>
                <w:rFonts w:ascii="宋体" w:hAnsi="宋体" w:cs="宋体" w:hint="eastAsia"/>
                <w:kern w:val="0"/>
                <w:szCs w:val="21"/>
              </w:rPr>
              <w:t>保持稳定，增</w:t>
            </w:r>
            <w:r w:rsidR="00ED758A">
              <w:rPr>
                <w:rFonts w:ascii="宋体" w:hAnsi="宋体" w:cs="宋体" w:hint="eastAsia"/>
                <w:kern w:val="0"/>
                <w:szCs w:val="21"/>
              </w:rPr>
              <w:t>量</w:t>
            </w:r>
            <w:r>
              <w:rPr>
                <w:rFonts w:ascii="宋体" w:hAnsi="宋体" w:cs="宋体" w:hint="eastAsia"/>
                <w:kern w:val="0"/>
                <w:szCs w:val="21"/>
              </w:rPr>
              <w:t>部分主要是光鸡销售。肉猪销售量保持1</w:t>
            </w: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%-</w:t>
            </w:r>
            <w:r>
              <w:rPr>
                <w:rFonts w:ascii="宋体" w:hAnsi="宋体" w:cs="宋体"/>
                <w:kern w:val="0"/>
                <w:szCs w:val="21"/>
              </w:rPr>
              <w:t>20</w:t>
            </w:r>
            <w:r>
              <w:rPr>
                <w:rFonts w:ascii="宋体" w:hAnsi="宋体" w:cs="宋体" w:hint="eastAsia"/>
                <w:kern w:val="0"/>
                <w:szCs w:val="21"/>
              </w:rPr>
              <w:t>%的增长。</w:t>
            </w:r>
          </w:p>
          <w:p w:rsidR="002A5D80" w:rsidRDefault="000A7106" w:rsidP="002A5D80"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公司现在现金流如何？</w:t>
            </w:r>
          </w:p>
          <w:p w:rsidR="000A7106" w:rsidRDefault="000A7106" w:rsidP="000A7106">
            <w:pPr>
              <w:spacing w:line="360" w:lineRule="auto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答：还比较充裕，公司对现金管理已做好了充分的准备和安排。</w:t>
            </w:r>
          </w:p>
          <w:p w:rsidR="000A7106" w:rsidRDefault="000A7106" w:rsidP="000A7106"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公司</w:t>
            </w:r>
            <w:r w:rsidR="00C97F81">
              <w:rPr>
                <w:rFonts w:ascii="宋体" w:hAnsi="宋体" w:cs="宋体" w:hint="eastAsia"/>
                <w:kern w:val="0"/>
                <w:szCs w:val="21"/>
              </w:rPr>
              <w:t>养猪业</w:t>
            </w:r>
            <w:r>
              <w:rPr>
                <w:rFonts w:ascii="宋体" w:hAnsi="宋体" w:cs="宋体" w:hint="eastAsia"/>
                <w:kern w:val="0"/>
                <w:szCs w:val="21"/>
              </w:rPr>
              <w:t>的投资进度</w:t>
            </w:r>
            <w:r w:rsidR="00C97F81">
              <w:rPr>
                <w:rFonts w:ascii="宋体" w:hAnsi="宋体" w:cs="宋体" w:hint="eastAsia"/>
                <w:kern w:val="0"/>
                <w:szCs w:val="21"/>
              </w:rPr>
              <w:t>如何？</w:t>
            </w:r>
          </w:p>
          <w:p w:rsidR="00C97F81" w:rsidRDefault="00C97F81" w:rsidP="00C97F81">
            <w:pPr>
              <w:spacing w:line="360" w:lineRule="auto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 w:rsidRPr="00C97F81">
              <w:rPr>
                <w:rFonts w:ascii="宋体" w:hAnsi="宋体" w:cs="宋体" w:hint="eastAsia"/>
                <w:kern w:val="0"/>
                <w:szCs w:val="21"/>
              </w:rPr>
              <w:t>计划年度新增开工产能 607 万头、竣工产能 563 万头，保持养猪业稳定发展。</w:t>
            </w:r>
          </w:p>
          <w:p w:rsidR="00C97F81" w:rsidRDefault="00C97F81" w:rsidP="00C97F81"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目前黄鸡市场情况怎么样？</w:t>
            </w:r>
          </w:p>
          <w:p w:rsidR="00C97F81" w:rsidRDefault="00C97F81" w:rsidP="00C97F81">
            <w:pPr>
              <w:spacing w:line="360" w:lineRule="auto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>
              <w:rPr>
                <w:rFonts w:ascii="宋体" w:hAnsi="宋体" w:cs="宋体"/>
                <w:kern w:val="0"/>
                <w:szCs w:val="21"/>
              </w:rPr>
              <w:t>H7N9</w:t>
            </w:r>
            <w:r>
              <w:rPr>
                <w:rFonts w:ascii="宋体" w:hAnsi="宋体" w:cs="宋体" w:hint="eastAsia"/>
                <w:kern w:val="0"/>
                <w:szCs w:val="21"/>
              </w:rPr>
              <w:t>的影响基本消退了，大部分市场已恢复，二、三线城市的毛鸡市场</w:t>
            </w:r>
            <w:r w:rsidR="009F2681">
              <w:rPr>
                <w:rFonts w:ascii="宋体" w:hAnsi="宋体" w:cs="宋体" w:hint="eastAsia"/>
                <w:kern w:val="0"/>
                <w:szCs w:val="21"/>
              </w:rPr>
              <w:t>实行轮休消毒制度，一线城市中心市场还是以光鸡销售为主。</w:t>
            </w:r>
          </w:p>
          <w:p w:rsidR="009F2681" w:rsidRDefault="009F2681" w:rsidP="009F2681"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公司黄鸡的盈利还能持续吗？</w:t>
            </w:r>
          </w:p>
          <w:p w:rsidR="009F2681" w:rsidRDefault="009F2681" w:rsidP="009F2681">
            <w:pPr>
              <w:spacing w:line="360" w:lineRule="auto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 w:rsidR="00DD2BA6">
              <w:rPr>
                <w:rFonts w:ascii="宋体" w:hAnsi="宋体" w:cs="宋体" w:hint="eastAsia"/>
                <w:kern w:val="0"/>
                <w:szCs w:val="21"/>
              </w:rPr>
              <w:t>年度来看，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-3</w:t>
            </w:r>
            <w:r>
              <w:rPr>
                <w:rFonts w:ascii="宋体" w:hAnsi="宋体" w:cs="宋体" w:hint="eastAsia"/>
                <w:kern w:val="0"/>
                <w:szCs w:val="21"/>
              </w:rPr>
              <w:t>季度应该还可以保持盈利，4季度</w:t>
            </w:r>
            <w:r w:rsidR="00DD2BA6">
              <w:rPr>
                <w:rFonts w:ascii="宋体" w:hAnsi="宋体" w:cs="宋体" w:hint="eastAsia"/>
                <w:kern w:val="0"/>
                <w:szCs w:val="21"/>
              </w:rPr>
              <w:t>相对较难</w:t>
            </w:r>
            <w:r>
              <w:rPr>
                <w:rFonts w:ascii="宋体" w:hAnsi="宋体" w:cs="宋体" w:hint="eastAsia"/>
                <w:kern w:val="0"/>
                <w:szCs w:val="21"/>
              </w:rPr>
              <w:t>预判。</w:t>
            </w:r>
          </w:p>
          <w:p w:rsidR="009F2681" w:rsidRDefault="009F2681" w:rsidP="009F2681"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中美贸易战对公司饲料原料影响怎么样？</w:t>
            </w:r>
          </w:p>
          <w:p w:rsidR="000A7106" w:rsidRDefault="009F2681" w:rsidP="0016170B">
            <w:pPr>
              <w:spacing w:line="360" w:lineRule="auto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答：对整个行业可能有所影响，但对公司影响不大。整个行业的饲料成本可能</w:t>
            </w:r>
            <w:r w:rsidR="00ED758A">
              <w:rPr>
                <w:rFonts w:ascii="宋体" w:hAnsi="宋体" w:cs="宋体" w:hint="eastAsia"/>
                <w:kern w:val="0"/>
                <w:szCs w:val="21"/>
              </w:rPr>
              <w:t>因此</w:t>
            </w:r>
            <w:r>
              <w:rPr>
                <w:rFonts w:ascii="宋体" w:hAnsi="宋体" w:cs="宋体" w:hint="eastAsia"/>
                <w:kern w:val="0"/>
                <w:szCs w:val="21"/>
              </w:rPr>
              <w:t>有所上升，但公司在</w:t>
            </w:r>
            <w:r w:rsidR="0016170B">
              <w:rPr>
                <w:rFonts w:ascii="宋体" w:hAnsi="宋体" w:cs="宋体" w:hint="eastAsia"/>
                <w:kern w:val="0"/>
                <w:szCs w:val="21"/>
              </w:rPr>
              <w:t>成本控制方面处于行业领先水平，</w:t>
            </w:r>
            <w:r w:rsidR="00B67464">
              <w:rPr>
                <w:rFonts w:ascii="宋体" w:hAnsi="宋体" w:cs="宋体" w:hint="eastAsia"/>
                <w:kern w:val="0"/>
                <w:szCs w:val="21"/>
              </w:rPr>
              <w:t>受</w:t>
            </w:r>
            <w:r w:rsidR="0016170B">
              <w:rPr>
                <w:rFonts w:ascii="宋体" w:hAnsi="宋体" w:cs="宋体" w:hint="eastAsia"/>
                <w:kern w:val="0"/>
                <w:szCs w:val="21"/>
              </w:rPr>
              <w:t>影响不大。我们通过远期合同已经锁定了部分</w:t>
            </w:r>
            <w:r w:rsidR="002D074D">
              <w:rPr>
                <w:rFonts w:ascii="宋体" w:hAnsi="宋体" w:cs="宋体" w:hint="eastAsia"/>
                <w:kern w:val="0"/>
                <w:szCs w:val="21"/>
              </w:rPr>
              <w:t>主要</w:t>
            </w:r>
            <w:r w:rsidR="0016170B">
              <w:rPr>
                <w:rFonts w:ascii="宋体" w:hAnsi="宋体" w:cs="宋体" w:hint="eastAsia"/>
                <w:kern w:val="0"/>
                <w:szCs w:val="21"/>
              </w:rPr>
              <w:t>原料的</w:t>
            </w:r>
            <w:r w:rsidR="002D074D">
              <w:rPr>
                <w:rFonts w:ascii="宋体" w:hAnsi="宋体" w:cs="宋体" w:hint="eastAsia"/>
                <w:kern w:val="0"/>
                <w:szCs w:val="21"/>
              </w:rPr>
              <w:t>未来几个月的</w:t>
            </w:r>
            <w:r w:rsidR="0016170B">
              <w:rPr>
                <w:rFonts w:ascii="宋体" w:hAnsi="宋体" w:cs="宋体" w:hint="eastAsia"/>
                <w:kern w:val="0"/>
                <w:szCs w:val="21"/>
              </w:rPr>
              <w:t>采购价格。</w:t>
            </w:r>
          </w:p>
          <w:p w:rsidR="002D074D" w:rsidRDefault="002D074D" w:rsidP="002D074D"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公司生鲜业务发展怎么样了？</w:t>
            </w:r>
          </w:p>
          <w:p w:rsidR="002D074D" w:rsidRDefault="002D074D" w:rsidP="002D074D">
            <w:pPr>
              <w:spacing w:line="360" w:lineRule="auto"/>
              <w:ind w:left="360"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答：还处于探索阶段，公司目前想在这方面盈利仍比较困难，但合作店主是盈利的。公司今年想增加</w:t>
            </w:r>
            <w:r w:rsidR="0087253F">
              <w:rPr>
                <w:rFonts w:ascii="宋体" w:hAnsi="宋体" w:cs="宋体" w:hint="eastAsia"/>
                <w:kern w:val="0"/>
                <w:szCs w:val="21"/>
              </w:rPr>
              <w:t>到</w:t>
            </w: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hAnsi="宋体" w:cs="宋体"/>
                <w:kern w:val="0"/>
                <w:szCs w:val="21"/>
              </w:rPr>
              <w:t>00</w:t>
            </w:r>
            <w:r>
              <w:rPr>
                <w:rFonts w:ascii="宋体" w:hAnsi="宋体" w:cs="宋体" w:hint="eastAsia"/>
                <w:kern w:val="0"/>
                <w:szCs w:val="21"/>
              </w:rPr>
              <w:t>家门店开业，我觉得不容易实现，主要难点在于</w:t>
            </w:r>
            <w:r w:rsidR="00EE4C5F">
              <w:rPr>
                <w:rFonts w:ascii="宋体" w:hAnsi="宋体" w:cs="宋体" w:hint="eastAsia"/>
                <w:kern w:val="0"/>
                <w:szCs w:val="21"/>
              </w:rPr>
              <w:t>合适的</w:t>
            </w:r>
            <w:r>
              <w:rPr>
                <w:rFonts w:ascii="宋体" w:hAnsi="宋体" w:cs="宋体" w:hint="eastAsia"/>
                <w:kern w:val="0"/>
                <w:szCs w:val="21"/>
              </w:rPr>
              <w:t>门店</w:t>
            </w:r>
            <w:r w:rsidR="00B67464">
              <w:rPr>
                <w:rFonts w:ascii="宋体" w:hAnsi="宋体" w:cs="宋体" w:hint="eastAsia"/>
                <w:kern w:val="0"/>
                <w:szCs w:val="21"/>
              </w:rPr>
              <w:t>资源</w:t>
            </w:r>
            <w:r w:rsidR="00EE4C5F">
              <w:rPr>
                <w:rFonts w:ascii="宋体" w:hAnsi="宋体" w:cs="宋体" w:hint="eastAsia"/>
                <w:kern w:val="0"/>
                <w:szCs w:val="21"/>
              </w:rPr>
              <w:t>很稀缺。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FCE" w:rsidRDefault="00F83FC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31367C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FCE" w:rsidRDefault="00F83FCE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AB636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AB636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F83FCE" w:rsidRDefault="00F83FC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F83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0B2" w:rsidRDefault="00ED70B2">
      <w:pPr>
        <w:spacing w:line="240" w:lineRule="auto"/>
        <w:ind w:firstLine="420"/>
      </w:pPr>
      <w:r>
        <w:separator/>
      </w:r>
    </w:p>
  </w:endnote>
  <w:endnote w:type="continuationSeparator" w:id="0">
    <w:p w:rsidR="00ED70B2" w:rsidRDefault="00ED70B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0B2" w:rsidRDefault="00ED70B2">
      <w:pPr>
        <w:spacing w:line="240" w:lineRule="auto"/>
        <w:ind w:firstLine="420"/>
      </w:pPr>
      <w:r>
        <w:separator/>
      </w:r>
    </w:p>
  </w:footnote>
  <w:footnote w:type="continuationSeparator" w:id="0">
    <w:p w:rsidR="00ED70B2" w:rsidRDefault="00ED70B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E892"/>
    <w:multiLevelType w:val="singleLevel"/>
    <w:tmpl w:val="5AD5E89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AD72E18"/>
    <w:multiLevelType w:val="singleLevel"/>
    <w:tmpl w:val="5AD72E18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6A4B1A2E"/>
    <w:multiLevelType w:val="hybridMultilevel"/>
    <w:tmpl w:val="93906A16"/>
    <w:lvl w:ilvl="0" w:tplc="971EF2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5311249">
    <w:abstractNumId w:val="0"/>
  </w:num>
  <w:num w:numId="2" w16cid:durableId="1177303264">
    <w:abstractNumId w:val="1"/>
  </w:num>
  <w:num w:numId="3" w16cid:durableId="736515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234E"/>
    <w:rsid w:val="000966AF"/>
    <w:rsid w:val="000A5CD6"/>
    <w:rsid w:val="000A710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6170B"/>
    <w:rsid w:val="0017091C"/>
    <w:rsid w:val="00177814"/>
    <w:rsid w:val="0018366C"/>
    <w:rsid w:val="00183F81"/>
    <w:rsid w:val="0019336A"/>
    <w:rsid w:val="0019696B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1820"/>
    <w:rsid w:val="002758A5"/>
    <w:rsid w:val="00277FF3"/>
    <w:rsid w:val="00293CBF"/>
    <w:rsid w:val="002A5D80"/>
    <w:rsid w:val="002D074D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367C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2811"/>
    <w:rsid w:val="00396DB6"/>
    <w:rsid w:val="003A0068"/>
    <w:rsid w:val="003A3634"/>
    <w:rsid w:val="003B0030"/>
    <w:rsid w:val="003B10D5"/>
    <w:rsid w:val="003B5A7F"/>
    <w:rsid w:val="003C2C20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22E98"/>
    <w:rsid w:val="00534BBF"/>
    <w:rsid w:val="00552F9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887"/>
    <w:rsid w:val="00600AE1"/>
    <w:rsid w:val="00610B2C"/>
    <w:rsid w:val="0061111D"/>
    <w:rsid w:val="006165D9"/>
    <w:rsid w:val="00616FE0"/>
    <w:rsid w:val="00625C3E"/>
    <w:rsid w:val="006346DD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0C5E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E7293"/>
    <w:rsid w:val="007F15E7"/>
    <w:rsid w:val="00826875"/>
    <w:rsid w:val="008314AF"/>
    <w:rsid w:val="00833FE3"/>
    <w:rsid w:val="0083627D"/>
    <w:rsid w:val="00837420"/>
    <w:rsid w:val="008709C4"/>
    <w:rsid w:val="0087253F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2681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17AC"/>
    <w:rsid w:val="00AA6AED"/>
    <w:rsid w:val="00AB185D"/>
    <w:rsid w:val="00AB366A"/>
    <w:rsid w:val="00AB6364"/>
    <w:rsid w:val="00AC0FD6"/>
    <w:rsid w:val="00AC21D3"/>
    <w:rsid w:val="00AC257F"/>
    <w:rsid w:val="00AC3FD6"/>
    <w:rsid w:val="00AC4C30"/>
    <w:rsid w:val="00AC745F"/>
    <w:rsid w:val="00AD3641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67464"/>
    <w:rsid w:val="00B75661"/>
    <w:rsid w:val="00B758C7"/>
    <w:rsid w:val="00B823F1"/>
    <w:rsid w:val="00B84F9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0D10"/>
    <w:rsid w:val="00C81004"/>
    <w:rsid w:val="00C815AD"/>
    <w:rsid w:val="00C853AF"/>
    <w:rsid w:val="00C9135A"/>
    <w:rsid w:val="00C91D47"/>
    <w:rsid w:val="00C977D8"/>
    <w:rsid w:val="00C97F81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D2BA6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D70B2"/>
    <w:rsid w:val="00ED758A"/>
    <w:rsid w:val="00EE4C5F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83FCE"/>
    <w:rsid w:val="00F937C0"/>
    <w:rsid w:val="00F94FCD"/>
    <w:rsid w:val="00FA170F"/>
    <w:rsid w:val="00FB18AE"/>
    <w:rsid w:val="00FB684B"/>
    <w:rsid w:val="00FB7EB1"/>
    <w:rsid w:val="00FC0378"/>
    <w:rsid w:val="00FD1B6F"/>
    <w:rsid w:val="00FD50BA"/>
    <w:rsid w:val="00FF2882"/>
    <w:rsid w:val="04EE12B2"/>
    <w:rsid w:val="06004A14"/>
    <w:rsid w:val="089911C0"/>
    <w:rsid w:val="09E430DF"/>
    <w:rsid w:val="13E407B2"/>
    <w:rsid w:val="14CF2963"/>
    <w:rsid w:val="154E00A7"/>
    <w:rsid w:val="17052FE1"/>
    <w:rsid w:val="22351026"/>
    <w:rsid w:val="267140D0"/>
    <w:rsid w:val="269658C0"/>
    <w:rsid w:val="27366B85"/>
    <w:rsid w:val="27CC7291"/>
    <w:rsid w:val="2A0A076B"/>
    <w:rsid w:val="2CBD30BB"/>
    <w:rsid w:val="2F8A722C"/>
    <w:rsid w:val="32F3529E"/>
    <w:rsid w:val="34F6546A"/>
    <w:rsid w:val="355B3FC1"/>
    <w:rsid w:val="35F07611"/>
    <w:rsid w:val="368F5177"/>
    <w:rsid w:val="380C30F1"/>
    <w:rsid w:val="392826DA"/>
    <w:rsid w:val="3A9A4858"/>
    <w:rsid w:val="3CDD34F2"/>
    <w:rsid w:val="3DF25AEA"/>
    <w:rsid w:val="3E121B69"/>
    <w:rsid w:val="3E966EFA"/>
    <w:rsid w:val="42A41DC0"/>
    <w:rsid w:val="481B15C1"/>
    <w:rsid w:val="4DFE6349"/>
    <w:rsid w:val="50E74DCB"/>
    <w:rsid w:val="53E96725"/>
    <w:rsid w:val="543422D0"/>
    <w:rsid w:val="5701675E"/>
    <w:rsid w:val="571C51DB"/>
    <w:rsid w:val="57542C40"/>
    <w:rsid w:val="5D8905B6"/>
    <w:rsid w:val="5D9E31F8"/>
    <w:rsid w:val="5FA25727"/>
    <w:rsid w:val="64254527"/>
    <w:rsid w:val="655813A8"/>
    <w:rsid w:val="698B1E54"/>
    <w:rsid w:val="70FA3C51"/>
    <w:rsid w:val="73A51C3E"/>
    <w:rsid w:val="78DE3783"/>
    <w:rsid w:val="792A427B"/>
    <w:rsid w:val="7CBC5B5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页脚 字符"/>
    <w:link w:val="ae"/>
    <w:uiPriority w:val="99"/>
    <w:rPr>
      <w:kern w:val="2"/>
      <w:sz w:val="18"/>
      <w:szCs w:val="18"/>
    </w:rPr>
  </w:style>
  <w:style w:type="paragraph" w:styleId="a6">
    <w:name w:val="annotation subject"/>
    <w:basedOn w:val="ac"/>
    <w:next w:val="ac"/>
    <w:link w:val="a5"/>
    <w:uiPriority w:val="99"/>
    <w:unhideWhenUsed/>
    <w:rPr>
      <w:b/>
      <w:bCs/>
    </w:rPr>
  </w:style>
  <w:style w:type="paragraph" w:styleId="ac">
    <w:name w:val="annotation text"/>
    <w:basedOn w:val="a"/>
    <w:link w:val="ab"/>
    <w:uiPriority w:val="99"/>
    <w:unhideWhenUsed/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2023-05-12T07:33:00Z</dcterms:created>
  <dcterms:modified xsi:type="dcterms:W3CDTF">2023-05-12T07:33:00Z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