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Lines="50" w:afterLines="50"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>证券代码：300498                                                                   证券简称：温氏股份</w:t>
      </w:r>
    </w:p>
    <w:p>
      <w:pPr>
        <w:widowControl w:val="0"/>
        <w:spacing w:beforeLines="50" w:afterLines="50" w:line="240" w:lineRule="auto"/>
        <w:ind w:firstLine="0" w:firstLineChars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hint="eastAsia" w:ascii="宋体" w:hAnsi="宋体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>
      <w:pPr>
        <w:widowControl w:val="0"/>
        <w:spacing w:line="240" w:lineRule="auto"/>
        <w:ind w:firstLine="0" w:firstLineChars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hint="eastAsia" w:ascii="宋体" w:hAnsi="宋体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编号：2018035</w:t>
      </w:r>
    </w:p>
    <w:tbl>
      <w:tblPr>
        <w:tblStyle w:val="7"/>
        <w:tblW w:w="962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7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特定对象调研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媒体采访 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新闻发布会          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  <w:u w:val="single"/>
              </w:rPr>
              <w:sym w:font="Wingdings 2" w:char="0052"/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其他 （请文字说明其他活动内容）  广发证券2019研讨会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3199"/>
              </w:tabs>
              <w:spacing w:line="560" w:lineRule="exact"/>
              <w:ind w:firstLine="0" w:firstLineChars="0"/>
              <w:rPr>
                <w:rFonts w:ascii="Calibri" w:hAnsi="Calibri" w:cs="Calibri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szCs w:val="21"/>
              </w:rPr>
              <w:t>上投摩根-孟亮；东方资管-刘文杰、孙伟、王延飞、蔡志鹏；元大宝来投信-孙新铭；南方基金-邹寅隆；博时基金-董良泓；平安基金-张俊生；平安资管-万军；建信基金-王麟锴；毅木资产-祝俭；浙商基金-倪权生；融通基金-张鹏；银华基金-姚迪帆等50家券商、机构投资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2018年12月13日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成都群光君悦酒店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hd w:val="clear" w:color="auto" w:fill="FFFFFF"/>
              <w:spacing w:line="420" w:lineRule="exact"/>
              <w:ind w:firstLine="0"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Q&amp;A环节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1、猪周期目前处于什么阶段，未来趋势怎样？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从过往几轮猪周期来看，今年上半年二季度出现的低价区，已基本上可确认本轮周期的底部，并有中小散户主动去产能的行为。从公开的数据来看，能繁母猪存栏呈持续下降态势，近几个月有所加快；母猪价格、仔猪价格受8月以来非洲猪瘟疫情的影响，疫点发生较多的区域也在不断走低。初步判断，猪周期处于底部回升时期，未来猪价的走势，要根据各区域的产能情况、非洲猪瘟疫情的影响程度等进行动态评估，目前不好下定论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2、受非洲猪瘟疫情的影响，目前市场一些规模化企业也在调整产能，公司怎么看？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发生非洲猪瘟以来，由于生猪调运受限，有些地方出现被动压栏现象，生产和销售影响较大，尤其是疫情数量较多的地区。判断猪周期要结合各区域的产能变化情况具体而定，部分规模化企业出于对防控疫情风险的谨慎考虑，如主动降低部分产能，属于正常的经营行为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3、非洲猪瘟对生产成本的影响有多大？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自从今年8月份国家公布第一例非洲猪瘟疫情之后，公司迅速启动了应急响应，要求各单位将严防死守的工作落实到位。按照防疫要求，公司主要增加了构建新的生物安全体系的投入，包括基础设施和配套服务，分摊到每头肉猪的完全成本影响较小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4、调运政策会不会调整，有什么影响？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从防控疫情的角度来看，生猪长途调运，尤其是运输车辆是传染风险点之一。从调猪到调肉是行业发展的主要趋势。近日召开的全国加强非洲猪瘟防控电视电话会议，强调要进一步完善防控机制，全面实施分区防控等措施。区域调运政策预计会有所调整，点对点调肉措施的完善，有望缓解主产区的压栏压力以及销区的供给压力。公司作为全国多个区域布局养猪的企业，前一阶段因防控疫情而压栏的生猪有望得到缓解，产区销售压力释放之后价格预计回升，而原来调入区相对进入新的供给平衡状态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5、生猪调入省的扩栏积极性如何，环保会不会放松？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答：目前生猪调入省的投苗较为正常，但要再新建扩栏增加产能有难度。目前来看，环保土地要求不会放松。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6、公司的发展计划是否会减缓？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答：公司今年的肉猪产销计划将如期完成。公司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未来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2年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的出栏计划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暂时</w:t>
            </w:r>
            <w:r>
              <w:rPr>
                <w:rFonts w:ascii="宋体" w:hAnsi="宋体" w:cs="宋体"/>
                <w:bCs/>
                <w:color w:val="000000"/>
                <w:szCs w:val="21"/>
              </w:rPr>
              <w:t>没有改变。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假如非洲猪瘟疫情的影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响程度持续加深，公司会对各区域的情况进行详细论证，假如未来因防控非洲猪瘟的需要，产销计划的实现略有偏差，我们认为属于正常范围。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7、白鸡行情现在好，黄鸡是否持续，明年的黄鸡行情会怎样？</w:t>
            </w:r>
          </w:p>
          <w:p>
            <w:pPr>
              <w:spacing w:line="560" w:lineRule="exact"/>
              <w:ind w:firstLine="0" w:firstLineChars="0"/>
              <w:rPr>
                <w:rFonts w:ascii="仿宋" w:hAnsi="仿宋" w:eastAsia="仿宋"/>
                <w:sz w:val="32"/>
                <w:szCs w:val="32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答：黄鸡行情从去年四季度至今已经持续走好一年多时间，行业盈利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eastAsia="zh-CN"/>
              </w:rPr>
              <w:t>较高</w:t>
            </w: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。预计明年会回归至合理水平，公司的计划基本上按合理的利润水平来规划，不会预算太高。</w:t>
            </w:r>
          </w:p>
          <w:p>
            <w:pPr>
              <w:spacing w:line="560" w:lineRule="exact"/>
              <w:ind w:firstLine="0" w:firstLineChars="0"/>
              <w:rPr>
                <w:rFonts w:ascii="宋体" w:hAnsi="宋体" w:cs="宋体"/>
                <w:bCs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附件清单（如有）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ind w:firstLine="0" w:firstLineChars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hd w:val="clear" w:color="auto" w:fill="FFFFFF"/>
              <w:spacing w:before="0" w:beforeAutospacing="0" w:after="0" w:afterAutospacing="0" w:line="360" w:lineRule="auto"/>
              <w:ind w:firstLine="0" w:firstLineChars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2018年12月14日</w:t>
            </w:r>
          </w:p>
        </w:tc>
      </w:tr>
    </w:tbl>
    <w:p>
      <w:pPr>
        <w:tabs>
          <w:tab w:val="left" w:pos="855"/>
        </w:tabs>
        <w:spacing w:line="240" w:lineRule="auto"/>
        <w:ind w:firstLine="0" w:firstLineChars="0"/>
        <w:rPr>
          <w:rFonts w:ascii="宋体" w:hAnsi="宋体"/>
          <w:color w:val="000000"/>
          <w:sz w:val="18"/>
          <w:szCs w:val="18"/>
        </w:rPr>
      </w:pPr>
    </w:p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40"/>
      <w:pgMar w:top="1928" w:right="1247" w:bottom="1701" w:left="1247" w:header="720" w:footer="72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 w:val="1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3B5F"/>
    <w:rsid w:val="00003831"/>
    <w:rsid w:val="00003AF8"/>
    <w:rsid w:val="00016D67"/>
    <w:rsid w:val="00017E2D"/>
    <w:rsid w:val="00061EEC"/>
    <w:rsid w:val="00062426"/>
    <w:rsid w:val="00064B18"/>
    <w:rsid w:val="0008094C"/>
    <w:rsid w:val="000A40E1"/>
    <w:rsid w:val="000A70EA"/>
    <w:rsid w:val="000B74E2"/>
    <w:rsid w:val="000C2295"/>
    <w:rsid w:val="000D0832"/>
    <w:rsid w:val="000E1E4C"/>
    <w:rsid w:val="000F5D45"/>
    <w:rsid w:val="00123B5F"/>
    <w:rsid w:val="00162443"/>
    <w:rsid w:val="001652BE"/>
    <w:rsid w:val="00165B96"/>
    <w:rsid w:val="001A0B8D"/>
    <w:rsid w:val="001C6C76"/>
    <w:rsid w:val="001F4898"/>
    <w:rsid w:val="00200246"/>
    <w:rsid w:val="0020150F"/>
    <w:rsid w:val="0021356F"/>
    <w:rsid w:val="00216547"/>
    <w:rsid w:val="00220E21"/>
    <w:rsid w:val="00227125"/>
    <w:rsid w:val="00227179"/>
    <w:rsid w:val="00234079"/>
    <w:rsid w:val="00265404"/>
    <w:rsid w:val="00294A6A"/>
    <w:rsid w:val="002C4013"/>
    <w:rsid w:val="002D003A"/>
    <w:rsid w:val="002E552B"/>
    <w:rsid w:val="00301AB4"/>
    <w:rsid w:val="00304CBC"/>
    <w:rsid w:val="003074F3"/>
    <w:rsid w:val="003119B7"/>
    <w:rsid w:val="00327EDE"/>
    <w:rsid w:val="00346B6F"/>
    <w:rsid w:val="00351F92"/>
    <w:rsid w:val="00381496"/>
    <w:rsid w:val="00386D14"/>
    <w:rsid w:val="003B4F14"/>
    <w:rsid w:val="003D30A9"/>
    <w:rsid w:val="003D4CE7"/>
    <w:rsid w:val="003D6F69"/>
    <w:rsid w:val="0040541A"/>
    <w:rsid w:val="004058CF"/>
    <w:rsid w:val="004506D0"/>
    <w:rsid w:val="004769FB"/>
    <w:rsid w:val="00487007"/>
    <w:rsid w:val="004B5895"/>
    <w:rsid w:val="004C06C6"/>
    <w:rsid w:val="0053194F"/>
    <w:rsid w:val="00537941"/>
    <w:rsid w:val="00573D3A"/>
    <w:rsid w:val="0057707A"/>
    <w:rsid w:val="005D3C6D"/>
    <w:rsid w:val="006115A7"/>
    <w:rsid w:val="00622FE2"/>
    <w:rsid w:val="0062455F"/>
    <w:rsid w:val="006301BD"/>
    <w:rsid w:val="006303DB"/>
    <w:rsid w:val="00667FAE"/>
    <w:rsid w:val="00691A17"/>
    <w:rsid w:val="006A1C6B"/>
    <w:rsid w:val="006C259C"/>
    <w:rsid w:val="00702660"/>
    <w:rsid w:val="007028FE"/>
    <w:rsid w:val="00704992"/>
    <w:rsid w:val="007300C6"/>
    <w:rsid w:val="00756EE2"/>
    <w:rsid w:val="00764968"/>
    <w:rsid w:val="007975C3"/>
    <w:rsid w:val="007E0412"/>
    <w:rsid w:val="007E57FE"/>
    <w:rsid w:val="00803C2C"/>
    <w:rsid w:val="00831A13"/>
    <w:rsid w:val="0083335E"/>
    <w:rsid w:val="008424DC"/>
    <w:rsid w:val="00885748"/>
    <w:rsid w:val="008A2A3E"/>
    <w:rsid w:val="008C0857"/>
    <w:rsid w:val="008C7D58"/>
    <w:rsid w:val="00913416"/>
    <w:rsid w:val="00926F87"/>
    <w:rsid w:val="009356A4"/>
    <w:rsid w:val="00964E7C"/>
    <w:rsid w:val="00966590"/>
    <w:rsid w:val="0099724F"/>
    <w:rsid w:val="009D673F"/>
    <w:rsid w:val="00A04769"/>
    <w:rsid w:val="00A079EE"/>
    <w:rsid w:val="00A16350"/>
    <w:rsid w:val="00A53624"/>
    <w:rsid w:val="00A55D73"/>
    <w:rsid w:val="00A7046C"/>
    <w:rsid w:val="00A80DBE"/>
    <w:rsid w:val="00A81496"/>
    <w:rsid w:val="00A835C7"/>
    <w:rsid w:val="00A878EC"/>
    <w:rsid w:val="00AA1DCF"/>
    <w:rsid w:val="00AA62E3"/>
    <w:rsid w:val="00AC233C"/>
    <w:rsid w:val="00AD2F2C"/>
    <w:rsid w:val="00AE24B9"/>
    <w:rsid w:val="00B27F00"/>
    <w:rsid w:val="00B362A7"/>
    <w:rsid w:val="00B40637"/>
    <w:rsid w:val="00B50614"/>
    <w:rsid w:val="00B843A7"/>
    <w:rsid w:val="00B9075C"/>
    <w:rsid w:val="00B911B3"/>
    <w:rsid w:val="00B947F3"/>
    <w:rsid w:val="00B94F9D"/>
    <w:rsid w:val="00BD6226"/>
    <w:rsid w:val="00BF6024"/>
    <w:rsid w:val="00BF7456"/>
    <w:rsid w:val="00C16190"/>
    <w:rsid w:val="00C21B40"/>
    <w:rsid w:val="00C547E9"/>
    <w:rsid w:val="00C6031B"/>
    <w:rsid w:val="00C67391"/>
    <w:rsid w:val="00C679D9"/>
    <w:rsid w:val="00C82C4F"/>
    <w:rsid w:val="00C96E4B"/>
    <w:rsid w:val="00CA13DF"/>
    <w:rsid w:val="00CA1C31"/>
    <w:rsid w:val="00CB0B28"/>
    <w:rsid w:val="00CE7757"/>
    <w:rsid w:val="00CF7D66"/>
    <w:rsid w:val="00D01422"/>
    <w:rsid w:val="00D062E9"/>
    <w:rsid w:val="00D1789F"/>
    <w:rsid w:val="00D22270"/>
    <w:rsid w:val="00D3663A"/>
    <w:rsid w:val="00D44E37"/>
    <w:rsid w:val="00D4510C"/>
    <w:rsid w:val="00D521A5"/>
    <w:rsid w:val="00D55479"/>
    <w:rsid w:val="00D569C8"/>
    <w:rsid w:val="00D66D4C"/>
    <w:rsid w:val="00DC11FD"/>
    <w:rsid w:val="00DE36C0"/>
    <w:rsid w:val="00DF4CEE"/>
    <w:rsid w:val="00E1797D"/>
    <w:rsid w:val="00E222A3"/>
    <w:rsid w:val="00E529E7"/>
    <w:rsid w:val="00E72446"/>
    <w:rsid w:val="00E90341"/>
    <w:rsid w:val="00E90C3B"/>
    <w:rsid w:val="00EB53A3"/>
    <w:rsid w:val="00EF3C9D"/>
    <w:rsid w:val="00F429CA"/>
    <w:rsid w:val="00F6061F"/>
    <w:rsid w:val="00F65616"/>
    <w:rsid w:val="00F75433"/>
    <w:rsid w:val="00F75A96"/>
    <w:rsid w:val="00F77664"/>
    <w:rsid w:val="00F8066B"/>
    <w:rsid w:val="00F842ED"/>
    <w:rsid w:val="00F97063"/>
    <w:rsid w:val="00FB2A10"/>
    <w:rsid w:val="00FD00C5"/>
    <w:rsid w:val="00FF1B04"/>
    <w:rsid w:val="00FF2278"/>
    <w:rsid w:val="00FF3329"/>
    <w:rsid w:val="049938A3"/>
    <w:rsid w:val="04A80C6F"/>
    <w:rsid w:val="0BC9593E"/>
    <w:rsid w:val="0F817B22"/>
    <w:rsid w:val="11B875D7"/>
    <w:rsid w:val="137456BF"/>
    <w:rsid w:val="1433049C"/>
    <w:rsid w:val="17142C41"/>
    <w:rsid w:val="1836702B"/>
    <w:rsid w:val="19461A71"/>
    <w:rsid w:val="1A532E85"/>
    <w:rsid w:val="1F3D4EA4"/>
    <w:rsid w:val="1FA53026"/>
    <w:rsid w:val="1FA56393"/>
    <w:rsid w:val="264C1691"/>
    <w:rsid w:val="26BE14E7"/>
    <w:rsid w:val="2965024C"/>
    <w:rsid w:val="2BB507D6"/>
    <w:rsid w:val="2C142C27"/>
    <w:rsid w:val="2D792D78"/>
    <w:rsid w:val="31DA2AAB"/>
    <w:rsid w:val="32783C7E"/>
    <w:rsid w:val="34536D95"/>
    <w:rsid w:val="36F5435C"/>
    <w:rsid w:val="37001D49"/>
    <w:rsid w:val="3AB61F17"/>
    <w:rsid w:val="3D277E5A"/>
    <w:rsid w:val="3D6C7AB8"/>
    <w:rsid w:val="3F2D65D2"/>
    <w:rsid w:val="3F5968CF"/>
    <w:rsid w:val="40573D87"/>
    <w:rsid w:val="40A942F8"/>
    <w:rsid w:val="40D839BA"/>
    <w:rsid w:val="460B2F12"/>
    <w:rsid w:val="47476994"/>
    <w:rsid w:val="50FA30D4"/>
    <w:rsid w:val="52E913A9"/>
    <w:rsid w:val="5A250F52"/>
    <w:rsid w:val="5B904C02"/>
    <w:rsid w:val="5C085EBB"/>
    <w:rsid w:val="5D4B3015"/>
    <w:rsid w:val="5DF16823"/>
    <w:rsid w:val="5FD87121"/>
    <w:rsid w:val="62D857FF"/>
    <w:rsid w:val="66870E31"/>
    <w:rsid w:val="6AE84F6D"/>
    <w:rsid w:val="70F238D7"/>
    <w:rsid w:val="73CF5BF4"/>
    <w:rsid w:val="779B5911"/>
    <w:rsid w:val="79D66980"/>
    <w:rsid w:val="7BF93641"/>
    <w:rsid w:val="7C584FD5"/>
    <w:rsid w:val="7E0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40" w:lineRule="exact"/>
      <w:ind w:firstLine="200" w:firstLineChars="200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8">
    <w:name w:val="页脚 Char"/>
    <w:link w:val="3"/>
    <w:qFormat/>
    <w:uiPriority w:val="99"/>
    <w:rPr>
      <w:sz w:val="18"/>
      <w:szCs w:val="18"/>
    </w:rPr>
  </w:style>
  <w:style w:type="character" w:customStyle="1" w:styleId="9">
    <w:name w:val="页眉 Char"/>
    <w:link w:val="4"/>
    <w:qFormat/>
    <w:uiPriority w:val="99"/>
    <w:rPr>
      <w:sz w:val="18"/>
      <w:szCs w:val="18"/>
    </w:rPr>
  </w:style>
  <w:style w:type="character" w:customStyle="1" w:styleId="10">
    <w:name w:val="页眉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字符1"/>
    <w:basedOn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249</Words>
  <Characters>1422</Characters>
  <Lines>11</Lines>
  <Paragraphs>3</Paragraphs>
  <TotalTime>3</TotalTime>
  <ScaleCrop>false</ScaleCrop>
  <LinksUpToDate>false</LinksUpToDate>
  <CharactersWithSpaces>1668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2018-12-06T09:43:00Z</dcterms:created>
  <dc:creator>Microsoft Office 用户</dc:creator>
  <cp:lastModifiedBy>hycream</cp:lastModifiedBy>
  <dcterms:modified xsi:type="dcterms:W3CDTF">2018-12-14T08:21:17Z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