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120" w:beforeLines="50" w:after="120" w:afterLines="50" w:line="240" w:lineRule="auto"/>
        <w:ind w:firstLine="0" w:firstLineChars="0"/>
        <w:rPr>
          <w:rFonts w:ascii="宋体" w:hAnsi="宋体"/>
          <w:bCs/>
          <w:iCs/>
          <w:color w:val="000000"/>
          <w:sz w:val="18"/>
          <w:szCs w:val="18"/>
        </w:rPr>
      </w:pPr>
      <w:r>
        <w:rPr>
          <w:rFonts w:hint="eastAsia" w:ascii="宋体" w:hAnsi="宋体"/>
          <w:bCs/>
          <w:iCs/>
          <w:color w:val="000000"/>
          <w:sz w:val="18"/>
          <w:szCs w:val="18"/>
        </w:rPr>
        <w:t>证券代码：300498                                                                   证券简称：温氏股份</w:t>
      </w:r>
    </w:p>
    <w:p>
      <w:pPr>
        <w:widowControl w:val="0"/>
        <w:spacing w:before="120" w:beforeLines="50" w:after="120" w:afterLines="50" w:line="240" w:lineRule="auto"/>
        <w:ind w:firstLine="0" w:firstLineChars="0"/>
        <w:jc w:val="center"/>
        <w:rPr>
          <w:rFonts w:ascii="宋体" w:hAnsi="宋体"/>
          <w:b/>
          <w:bCs/>
          <w:iCs/>
          <w:color w:val="000000"/>
          <w:sz w:val="32"/>
          <w:szCs w:val="32"/>
        </w:rPr>
      </w:pPr>
      <w:r>
        <w:rPr>
          <w:rFonts w:hint="eastAsia" w:ascii="宋体" w:hAnsi="宋体"/>
          <w:b/>
          <w:bCs/>
          <w:iCs/>
          <w:color w:val="000000"/>
          <w:sz w:val="32"/>
          <w:szCs w:val="32"/>
        </w:rPr>
        <w:t>温氏食品集团股份有限公司投资者关系活动记录表</w:t>
      </w:r>
    </w:p>
    <w:p>
      <w:pPr>
        <w:widowControl w:val="0"/>
        <w:spacing w:line="240" w:lineRule="auto"/>
        <w:ind w:firstLine="0" w:firstLineChars="0"/>
        <w:rPr>
          <w:rFonts w:ascii="宋体" w:hAnsi="宋体"/>
          <w:bCs/>
          <w:iCs/>
          <w:color w:val="000000"/>
          <w:sz w:val="18"/>
          <w:szCs w:val="18"/>
        </w:rPr>
      </w:pPr>
      <w:r>
        <w:rPr>
          <w:rFonts w:hint="eastAsia" w:ascii="宋体" w:hAnsi="宋体"/>
          <w:bCs/>
          <w:iCs/>
          <w:color w:val="000000"/>
          <w:sz w:val="18"/>
          <w:szCs w:val="18"/>
        </w:rPr>
        <w:t xml:space="preserve">                                                                                           编号：2018037</w:t>
      </w:r>
    </w:p>
    <w:tbl>
      <w:tblPr>
        <w:tblStyle w:val="7"/>
        <w:tblW w:w="96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7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8" w:type="dxa"/>
            <w:tcBorders>
              <w:top w:val="single" w:color="auto" w:sz="4" w:space="0"/>
              <w:left w:val="single" w:color="auto" w:sz="4" w:space="0"/>
              <w:bottom w:val="single" w:color="auto" w:sz="4" w:space="0"/>
              <w:right w:val="single" w:color="auto" w:sz="4" w:space="0"/>
            </w:tcBorders>
          </w:tcPr>
          <w:p>
            <w:pPr>
              <w:shd w:val="clear" w:color="auto" w:fill="FFFFFF"/>
              <w:spacing w:line="420" w:lineRule="exact"/>
              <w:ind w:firstLine="0" w:firstLineChars="0"/>
              <w:rPr>
                <w:rFonts w:ascii="宋体" w:hAnsi="宋体" w:cs="宋体"/>
                <w:szCs w:val="21"/>
                <w:shd w:val="clear" w:color="auto" w:fill="FFFFFF"/>
              </w:rPr>
            </w:pPr>
            <w:r>
              <w:rPr>
                <w:rFonts w:hint="eastAsia" w:ascii="宋体" w:hAnsi="宋体" w:cs="宋体"/>
                <w:bCs/>
                <w:color w:val="000000"/>
                <w:kern w:val="0"/>
                <w:szCs w:val="21"/>
                <w:shd w:val="clear" w:color="auto" w:fill="FFFFFF"/>
              </w:rPr>
              <w:t>投资者关系活动类别</w:t>
            </w:r>
          </w:p>
        </w:tc>
        <w:tc>
          <w:tcPr>
            <w:tcW w:w="7699" w:type="dxa"/>
            <w:tcBorders>
              <w:top w:val="single" w:color="auto" w:sz="4" w:space="0"/>
              <w:left w:val="single" w:color="auto" w:sz="4" w:space="0"/>
              <w:bottom w:val="single" w:color="auto" w:sz="4" w:space="0"/>
              <w:right w:val="single" w:color="auto" w:sz="4" w:space="0"/>
            </w:tcBorders>
          </w:tcPr>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sym w:font="Wingdings 2" w:char="0052"/>
            </w:r>
            <w:r>
              <w:rPr>
                <w:rFonts w:hint="eastAsia" w:ascii="宋体" w:hAnsi="宋体" w:cs="宋体"/>
                <w:bCs/>
                <w:color w:val="000000"/>
                <w:kern w:val="0"/>
                <w:szCs w:val="21"/>
                <w:shd w:val="clear" w:color="auto" w:fill="FFFFFF"/>
              </w:rPr>
              <w:t xml:space="preserve">特定对象调研        </w:t>
            </w:r>
            <w:r>
              <w:rPr>
                <w:rFonts w:hint="eastAsia" w:ascii="宋体" w:hAnsi="宋体" w:cs="宋体"/>
                <w:bCs/>
                <w:color w:val="000000"/>
                <w:kern w:val="0"/>
                <w:szCs w:val="21"/>
                <w:shd w:val="clear" w:color="auto" w:fill="FFFFFF"/>
              </w:rPr>
              <w:sym w:font="Wingdings 2" w:char="00A3"/>
            </w:r>
            <w:r>
              <w:rPr>
                <w:rFonts w:hint="eastAsia" w:ascii="宋体" w:hAnsi="宋体" w:cs="宋体"/>
                <w:bCs/>
                <w:color w:val="000000"/>
                <w:kern w:val="0"/>
                <w:szCs w:val="21"/>
                <w:shd w:val="clear" w:color="auto" w:fill="FFFFFF"/>
              </w:rPr>
              <w:t>分析师会议</w:t>
            </w:r>
          </w:p>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sym w:font="Wingdings 2" w:char="00A3"/>
            </w:r>
            <w:r>
              <w:rPr>
                <w:rFonts w:hint="eastAsia" w:ascii="宋体" w:hAnsi="宋体" w:cs="宋体"/>
                <w:bCs/>
                <w:color w:val="000000"/>
                <w:kern w:val="0"/>
                <w:szCs w:val="21"/>
                <w:shd w:val="clear" w:color="auto" w:fill="FFFFFF"/>
              </w:rPr>
              <w:t xml:space="preserve">媒体采访            </w:t>
            </w:r>
            <w:r>
              <w:rPr>
                <w:rFonts w:hint="eastAsia" w:ascii="宋体" w:hAnsi="宋体" w:cs="宋体"/>
                <w:bCs/>
                <w:color w:val="000000"/>
                <w:kern w:val="0"/>
                <w:szCs w:val="21"/>
                <w:shd w:val="clear" w:color="auto" w:fill="FFFFFF"/>
              </w:rPr>
              <w:sym w:font="Wingdings 2" w:char="00A3"/>
            </w:r>
            <w:r>
              <w:rPr>
                <w:rFonts w:hint="eastAsia" w:ascii="宋体" w:hAnsi="宋体" w:cs="宋体"/>
                <w:bCs/>
                <w:color w:val="000000"/>
                <w:kern w:val="0"/>
                <w:szCs w:val="21"/>
                <w:shd w:val="clear" w:color="auto" w:fill="FFFFFF"/>
              </w:rPr>
              <w:t>业绩说明会</w:t>
            </w:r>
          </w:p>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sym w:font="Wingdings 2" w:char="00A3"/>
            </w:r>
            <w:r>
              <w:rPr>
                <w:rFonts w:hint="eastAsia" w:ascii="宋体" w:hAnsi="宋体" w:cs="宋体"/>
                <w:bCs/>
                <w:color w:val="000000"/>
                <w:kern w:val="0"/>
                <w:szCs w:val="21"/>
                <w:shd w:val="clear" w:color="auto" w:fill="FFFFFF"/>
              </w:rPr>
              <w:t xml:space="preserve">新闻发布会           </w:t>
            </w:r>
            <w:r>
              <w:rPr>
                <w:rFonts w:hint="eastAsia" w:ascii="宋体" w:hAnsi="宋体" w:cs="宋体"/>
                <w:bCs/>
                <w:color w:val="000000"/>
                <w:kern w:val="0"/>
                <w:szCs w:val="21"/>
                <w:shd w:val="clear" w:color="auto" w:fill="FFFFFF"/>
              </w:rPr>
              <w:sym w:font="Wingdings 2" w:char="00A3"/>
            </w:r>
            <w:r>
              <w:rPr>
                <w:rFonts w:hint="eastAsia" w:ascii="宋体" w:hAnsi="宋体" w:cs="宋体"/>
                <w:bCs/>
                <w:color w:val="000000"/>
                <w:kern w:val="0"/>
                <w:szCs w:val="21"/>
                <w:shd w:val="clear" w:color="auto" w:fill="FFFFFF"/>
              </w:rPr>
              <w:t>路演活动</w:t>
            </w:r>
          </w:p>
          <w:p>
            <w:pPr>
              <w:shd w:val="clear" w:color="auto" w:fill="FFFFFF"/>
              <w:tabs>
                <w:tab w:val="left" w:pos="3045"/>
                <w:tab w:val="center" w:pos="3199"/>
              </w:tabs>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sym w:font="Wingdings 2" w:char="00A3"/>
            </w:r>
            <w:r>
              <w:rPr>
                <w:rFonts w:hint="eastAsia" w:ascii="宋体" w:hAnsi="宋体" w:cs="宋体"/>
                <w:bCs/>
                <w:color w:val="000000"/>
                <w:kern w:val="0"/>
                <w:szCs w:val="21"/>
                <w:shd w:val="clear" w:color="auto" w:fill="FFFFFF"/>
              </w:rPr>
              <w:t>现场参观</w:t>
            </w:r>
            <w:r>
              <w:rPr>
                <w:rFonts w:hint="eastAsia" w:ascii="宋体" w:hAnsi="宋体" w:cs="宋体"/>
                <w:bCs/>
                <w:color w:val="000000"/>
                <w:kern w:val="0"/>
                <w:szCs w:val="21"/>
                <w:shd w:val="clear" w:color="auto" w:fill="FFFFFF"/>
              </w:rPr>
              <w:tab/>
            </w:r>
          </w:p>
          <w:p>
            <w:pPr>
              <w:shd w:val="clear" w:color="auto" w:fill="FFFFFF"/>
              <w:tabs>
                <w:tab w:val="center" w:pos="3199"/>
              </w:tabs>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sym w:font="Wingdings 2" w:char="00A3"/>
            </w:r>
            <w:r>
              <w:rPr>
                <w:rFonts w:hint="eastAsia" w:ascii="宋体" w:hAnsi="宋体" w:cs="宋体"/>
                <w:bCs/>
                <w:color w:val="000000"/>
                <w:kern w:val="0"/>
                <w:szCs w:val="21"/>
                <w:shd w:val="clear" w:color="auto" w:fill="FFFFFF"/>
              </w:rPr>
              <w:t>其他 （请文字说明其他活动内容</w:t>
            </w:r>
            <w:r>
              <w:rPr>
                <w:rFonts w:ascii="宋体" w:hAnsi="宋体" w:cs="宋体"/>
                <w:bCs/>
                <w:color w:val="000000"/>
                <w:kern w:val="0"/>
                <w:szCs w:val="21"/>
                <w:shd w:val="clear" w:color="auto" w:fill="FFFFFF"/>
              </w:rPr>
              <w:t>）</w:t>
            </w:r>
            <w:r>
              <w:rPr>
                <w:rFonts w:hint="eastAsia" w:ascii="宋体" w:hAnsi="宋体" w:cs="宋体"/>
                <w:bCs/>
                <w:color w:val="000000"/>
                <w:kern w:val="0"/>
                <w:szCs w:val="21"/>
                <w:shd w:val="clear" w:color="auto" w:fill="FFFFFF"/>
              </w:rPr>
              <w:t xml:space="preserve">  </w:t>
            </w:r>
            <w:r>
              <w:rPr>
                <w:rFonts w:hint="eastAsia" w:ascii="宋体" w:hAnsi="宋体" w:cs="宋体"/>
                <w:szCs w:val="21"/>
                <w:u w:val="single"/>
              </w:rPr>
              <w:t xml:space="preserve">                 </w:t>
            </w:r>
            <w:r>
              <w:rPr>
                <w:rFonts w:hint="eastAsia" w:ascii="宋体" w:hAnsi="宋体" w:cs="宋体"/>
                <w:bCs/>
                <w:color w:val="000000"/>
                <w:kern w:val="0"/>
                <w:szCs w:val="21"/>
                <w:u w:val="single"/>
                <w:shd w:val="clear" w:color="auto"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atLeast"/>
          <w:jc w:val="center"/>
        </w:trPr>
        <w:tc>
          <w:tcPr>
            <w:tcW w:w="1928" w:type="dxa"/>
            <w:tcBorders>
              <w:top w:val="single" w:color="auto" w:sz="4" w:space="0"/>
              <w:left w:val="single" w:color="auto" w:sz="4" w:space="0"/>
              <w:bottom w:val="single" w:color="auto" w:sz="4" w:space="0"/>
              <w:right w:val="single" w:color="auto" w:sz="4" w:space="0"/>
            </w:tcBorders>
          </w:tcPr>
          <w:p>
            <w:pPr>
              <w:shd w:val="clear" w:color="auto" w:fill="FFFFFF"/>
              <w:spacing w:line="420" w:lineRule="exact"/>
              <w:ind w:firstLine="0" w:firstLineChars="0"/>
              <w:rPr>
                <w:rFonts w:ascii="宋体" w:hAnsi="宋体" w:cs="宋体"/>
                <w:bCs/>
                <w:color w:val="0000FF"/>
                <w:kern w:val="0"/>
                <w:szCs w:val="21"/>
                <w:shd w:val="clear" w:color="auto" w:fill="FFFFFF"/>
              </w:rPr>
            </w:pPr>
            <w:r>
              <w:rPr>
                <w:rFonts w:hint="eastAsia" w:ascii="宋体" w:hAnsi="宋体" w:cs="宋体"/>
                <w:bCs/>
                <w:color w:val="000000"/>
                <w:kern w:val="0"/>
                <w:szCs w:val="21"/>
                <w:shd w:val="clear" w:color="auto" w:fill="FFFFFF"/>
              </w:rPr>
              <w:t>参与单位名称及人员姓名</w:t>
            </w:r>
          </w:p>
        </w:tc>
        <w:tc>
          <w:tcPr>
            <w:tcW w:w="7699" w:type="dxa"/>
            <w:tcBorders>
              <w:top w:val="single" w:color="auto" w:sz="4" w:space="0"/>
              <w:left w:val="single" w:color="auto" w:sz="4" w:space="0"/>
              <w:bottom w:val="single" w:color="auto" w:sz="4" w:space="0"/>
              <w:right w:val="single" w:color="auto" w:sz="4" w:space="0"/>
            </w:tcBorders>
          </w:tcPr>
          <w:p>
            <w:pPr>
              <w:tabs>
                <w:tab w:val="center" w:pos="3199"/>
              </w:tabs>
              <w:spacing w:line="56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t>东莞证券-魏红梅、陈伟光</w:t>
            </w:r>
            <w:r>
              <w:rPr>
                <w:rFonts w:ascii="宋体" w:hAnsi="宋体" w:cs="宋体"/>
                <w:bCs/>
                <w:color w:val="000000"/>
                <w:kern w:val="0"/>
                <w:szCs w:val="21"/>
                <w:shd w:val="clear" w:color="auto" w:fill="FFFFFF"/>
              </w:rPr>
              <w:t>；</w:t>
            </w:r>
            <w:r>
              <w:rPr>
                <w:rFonts w:hint="eastAsia" w:ascii="宋体" w:hAnsi="宋体" w:cs="宋体"/>
                <w:bCs/>
                <w:color w:val="000000"/>
                <w:kern w:val="0"/>
                <w:szCs w:val="21"/>
                <w:shd w:val="clear" w:color="auto" w:fill="FFFFFF"/>
              </w:rPr>
              <w:t>恒盈富达资产-杨南翔、吴齐；固禾资产-纪晓玲；千波资产-王好；华联期货-段福林等5家机构投资者。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8" w:type="dxa"/>
            <w:tcBorders>
              <w:top w:val="single" w:color="auto" w:sz="4" w:space="0"/>
              <w:left w:val="single" w:color="auto" w:sz="4" w:space="0"/>
              <w:bottom w:val="single" w:color="auto" w:sz="4" w:space="0"/>
              <w:right w:val="single" w:color="auto" w:sz="4" w:space="0"/>
            </w:tcBorders>
          </w:tcPr>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t>时间</w:t>
            </w:r>
          </w:p>
        </w:tc>
        <w:tc>
          <w:tcPr>
            <w:tcW w:w="7699" w:type="dxa"/>
            <w:tcBorders>
              <w:top w:val="single" w:color="auto" w:sz="4" w:space="0"/>
              <w:left w:val="single" w:color="auto" w:sz="4" w:space="0"/>
              <w:bottom w:val="single" w:color="auto" w:sz="4" w:space="0"/>
              <w:right w:val="single" w:color="auto" w:sz="4" w:space="0"/>
            </w:tcBorders>
          </w:tcPr>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t>2018年12月</w:t>
            </w:r>
            <w:r>
              <w:rPr>
                <w:rFonts w:ascii="宋体" w:hAnsi="宋体" w:cs="宋体"/>
                <w:bCs/>
                <w:color w:val="000000"/>
                <w:kern w:val="0"/>
                <w:szCs w:val="21"/>
                <w:shd w:val="clear" w:color="auto" w:fill="FFFFFF"/>
              </w:rPr>
              <w:t>17</w:t>
            </w:r>
            <w:r>
              <w:rPr>
                <w:rFonts w:hint="eastAsia" w:ascii="宋体" w:hAnsi="宋体" w:cs="宋体"/>
                <w:bCs/>
                <w:color w:val="000000"/>
                <w:kern w:val="0"/>
                <w:szCs w:val="21"/>
                <w:shd w:val="clear" w:color="auto" w:fill="FFFFFF"/>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8" w:type="dxa"/>
            <w:tcBorders>
              <w:top w:val="single" w:color="auto" w:sz="4" w:space="0"/>
              <w:left w:val="single" w:color="auto" w:sz="4" w:space="0"/>
              <w:bottom w:val="single" w:color="auto" w:sz="4" w:space="0"/>
              <w:right w:val="single" w:color="auto" w:sz="4" w:space="0"/>
            </w:tcBorders>
          </w:tcPr>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t>地点</w:t>
            </w:r>
          </w:p>
        </w:tc>
        <w:tc>
          <w:tcPr>
            <w:tcW w:w="7699" w:type="dxa"/>
            <w:tcBorders>
              <w:top w:val="single" w:color="auto" w:sz="4" w:space="0"/>
              <w:left w:val="single" w:color="auto" w:sz="4" w:space="0"/>
              <w:bottom w:val="single" w:color="auto" w:sz="4" w:space="0"/>
              <w:right w:val="single" w:color="auto" w:sz="4" w:space="0"/>
            </w:tcBorders>
          </w:tcPr>
          <w:p>
            <w:pPr>
              <w:shd w:val="clear" w:color="auto" w:fill="FFFFFF"/>
              <w:tabs>
                <w:tab w:val="center" w:pos="3199"/>
              </w:tabs>
              <w:spacing w:line="420" w:lineRule="exact"/>
              <w:ind w:firstLine="0" w:firstLineChars="0"/>
              <w:rPr>
                <w:rFonts w:ascii="宋体" w:hAnsi="宋体" w:cs="宋体"/>
                <w:szCs w:val="21"/>
              </w:rPr>
            </w:pPr>
            <w:r>
              <w:rPr>
                <w:rFonts w:hint="eastAsia" w:ascii="宋体" w:hAnsi="宋体" w:cs="宋体"/>
                <w:bCs/>
                <w:color w:val="000000"/>
                <w:kern w:val="0"/>
                <w:szCs w:val="21"/>
                <w:shd w:val="clear" w:color="auto" w:fill="FFFFFF"/>
              </w:rPr>
              <w:t>温氏总部19楼会议室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8" w:type="dxa"/>
            <w:tcBorders>
              <w:top w:val="single" w:color="auto" w:sz="4" w:space="0"/>
              <w:left w:val="single" w:color="auto" w:sz="4" w:space="0"/>
              <w:bottom w:val="single" w:color="auto" w:sz="4" w:space="0"/>
              <w:right w:val="single" w:color="auto" w:sz="4" w:space="0"/>
            </w:tcBorders>
          </w:tcPr>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t>上市公司接待人员姓名</w:t>
            </w:r>
          </w:p>
        </w:tc>
        <w:tc>
          <w:tcPr>
            <w:tcW w:w="7699" w:type="dxa"/>
            <w:tcBorders>
              <w:top w:val="single" w:color="auto" w:sz="4" w:space="0"/>
              <w:left w:val="single" w:color="auto" w:sz="4" w:space="0"/>
              <w:bottom w:val="single" w:color="auto" w:sz="4" w:space="0"/>
              <w:right w:val="single" w:color="auto" w:sz="4" w:space="0"/>
            </w:tcBorders>
          </w:tcPr>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t>梁伟全、覃刚禄。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8" w:type="dxa"/>
            <w:tcBorders>
              <w:top w:val="single" w:color="auto" w:sz="4" w:space="0"/>
              <w:left w:val="single" w:color="auto" w:sz="4" w:space="0"/>
              <w:bottom w:val="single" w:color="auto" w:sz="4" w:space="0"/>
              <w:right w:val="single" w:color="auto" w:sz="4" w:space="0"/>
            </w:tcBorders>
            <w:vAlign w:val="center"/>
          </w:tcPr>
          <w:p>
            <w:pPr>
              <w:shd w:val="clear" w:color="auto" w:fill="FFFFFF"/>
              <w:spacing w:line="420" w:lineRule="exact"/>
              <w:ind w:firstLine="0" w:firstLineChars="0"/>
              <w:rPr>
                <w:rFonts w:ascii="宋体" w:hAnsi="宋体" w:cs="宋体"/>
                <w:bCs/>
                <w:color w:val="000000"/>
                <w:kern w:val="0"/>
                <w:szCs w:val="21"/>
                <w:shd w:val="clear" w:color="auto" w:fill="FFFFFF"/>
              </w:rPr>
            </w:pPr>
            <w:r>
              <w:rPr>
                <w:rFonts w:hint="eastAsia" w:ascii="宋体" w:hAnsi="宋体" w:cs="宋体"/>
                <w:bCs/>
                <w:color w:val="000000"/>
                <w:kern w:val="0"/>
                <w:szCs w:val="21"/>
                <w:shd w:val="clear" w:color="auto" w:fill="FFFFFF"/>
              </w:rPr>
              <w:t>投资者关系活动主要内容介绍</w:t>
            </w:r>
          </w:p>
          <w:p>
            <w:pPr>
              <w:widowControl w:val="0"/>
              <w:spacing w:line="240" w:lineRule="auto"/>
              <w:ind w:firstLine="0" w:firstLineChars="0"/>
              <w:rPr>
                <w:rFonts w:ascii="宋体" w:hAnsi="宋体" w:cs="宋体"/>
                <w:bCs/>
                <w:iCs/>
                <w:color w:val="000000"/>
                <w:szCs w:val="21"/>
              </w:rPr>
            </w:pPr>
          </w:p>
        </w:tc>
        <w:tc>
          <w:tcPr>
            <w:tcW w:w="7699" w:type="dxa"/>
            <w:tcBorders>
              <w:top w:val="single" w:color="auto" w:sz="4" w:space="0"/>
              <w:left w:val="single" w:color="auto" w:sz="4" w:space="0"/>
              <w:bottom w:val="single" w:color="auto" w:sz="4" w:space="0"/>
              <w:right w:val="single" w:color="auto" w:sz="4" w:space="0"/>
            </w:tcBorders>
          </w:tcPr>
          <w:p>
            <w:pPr>
              <w:spacing w:line="560" w:lineRule="exact"/>
              <w:ind w:firstLine="0" w:firstLineChars="0"/>
              <w:rPr>
                <w:rFonts w:ascii="宋体" w:hAnsi="宋体" w:cs="宋体"/>
                <w:b/>
                <w:bCs/>
                <w:color w:val="000000"/>
                <w:szCs w:val="21"/>
              </w:rPr>
            </w:pPr>
            <w:r>
              <w:rPr>
                <w:rFonts w:hint="eastAsia" w:ascii="宋体" w:hAnsi="宋体" w:cs="宋体"/>
                <w:b/>
                <w:bCs/>
                <w:color w:val="000000"/>
                <w:szCs w:val="21"/>
              </w:rPr>
              <w:t>一、非洲猪瘟概述</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现阶段非洲猪瘟尽管仍有发生，但是总体可控，处于多点散发状态，并没有出现大面积流行。非洲猪瘟对我国来说是一种全新的动物疫病，短时间内难以根除，公司已经做好长期防疫抗疫的准备。</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公司主要应对措施是：</w:t>
            </w:r>
          </w:p>
          <w:p>
            <w:pPr>
              <w:spacing w:line="560" w:lineRule="exact"/>
              <w:ind w:firstLine="0" w:firstLineChars="0"/>
              <w:rPr>
                <w:rFonts w:hint="eastAsia" w:ascii="宋体" w:hAnsi="宋体" w:eastAsia="宋体" w:cs="宋体"/>
                <w:bCs/>
                <w:color w:val="000000"/>
                <w:szCs w:val="21"/>
                <w:lang w:eastAsia="zh-CN"/>
              </w:rPr>
            </w:pPr>
            <w:r>
              <w:rPr>
                <w:rFonts w:hint="eastAsia" w:ascii="宋体" w:hAnsi="宋体" w:cs="宋体"/>
                <w:bCs/>
                <w:color w:val="000000"/>
                <w:szCs w:val="21"/>
              </w:rPr>
              <w:t>1）从思想上重视：全面提高生物安全防护等级，公司所有下属养猪公司进入非洲猪瘟防控最高等级战时状态，全力以赴做好非洲猪瘟疫情防控工作</w:t>
            </w:r>
            <w:r>
              <w:rPr>
                <w:rFonts w:hint="eastAsia" w:ascii="宋体" w:hAnsi="宋体" w:cs="宋体"/>
                <w:bCs/>
                <w:color w:val="000000"/>
                <w:szCs w:val="21"/>
                <w:lang w:eastAsia="zh-CN"/>
              </w:rPr>
              <w:t>；</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2）强化生物安全管控：完善防控流程，实施严格的卫生消毒工作，落实封锁隔离制度。加强人员、物资、运输车辆等关键环节监控，减少疫病传播风险；</w:t>
            </w:r>
          </w:p>
          <w:p>
            <w:pPr>
              <w:spacing w:line="560" w:lineRule="exact"/>
              <w:ind w:firstLine="0" w:firstLineChars="0"/>
              <w:rPr>
                <w:rFonts w:hint="eastAsia" w:ascii="宋体" w:hAnsi="宋体" w:cs="宋体"/>
                <w:bCs/>
                <w:color w:val="000000"/>
                <w:szCs w:val="21"/>
                <w:lang w:eastAsia="zh-CN"/>
              </w:rPr>
            </w:pPr>
            <w:r>
              <w:rPr>
                <w:rFonts w:hint="eastAsia" w:ascii="宋体" w:hAnsi="宋体" w:cs="宋体"/>
                <w:bCs/>
                <w:color w:val="000000"/>
                <w:szCs w:val="21"/>
              </w:rPr>
              <w:t>3）做好销售安排：加强与屠宰厂点对点销售联接，保证公司养猪业的大生产安全同时确保正常的销售秩序，保障销售畅通，降低疫区封锁的损失</w:t>
            </w:r>
            <w:r>
              <w:rPr>
                <w:rFonts w:hint="eastAsia" w:ascii="宋体" w:hAnsi="宋体" w:cs="宋体"/>
                <w:bCs/>
                <w:color w:val="000000"/>
                <w:szCs w:val="21"/>
                <w:lang w:eastAsia="zh-CN"/>
              </w:rPr>
              <w:t>；</w:t>
            </w:r>
          </w:p>
          <w:p>
            <w:pPr>
              <w:spacing w:line="560" w:lineRule="exact"/>
              <w:ind w:firstLine="0" w:firstLineChars="0"/>
              <w:rPr>
                <w:rFonts w:ascii="宋体" w:hAnsi="宋体" w:cs="宋体"/>
                <w:b/>
                <w:bCs/>
                <w:color w:val="000000"/>
                <w:szCs w:val="21"/>
              </w:rPr>
            </w:pPr>
            <w:bookmarkStart w:id="0" w:name="_GoBack"/>
            <w:bookmarkEnd w:id="0"/>
            <w:r>
              <w:rPr>
                <w:rFonts w:hint="eastAsia" w:ascii="宋体" w:hAnsi="宋体" w:cs="宋体"/>
                <w:bCs/>
                <w:color w:val="000000"/>
                <w:szCs w:val="21"/>
              </w:rPr>
              <w:t>4）继续加强生产一线员工、合作农户（或家庭农场）防疫知识培训、防疫措施落实及猪群健康检查力度，提高防疫专业能力。</w:t>
            </w:r>
          </w:p>
          <w:p>
            <w:pPr>
              <w:spacing w:line="560" w:lineRule="exact"/>
              <w:ind w:firstLine="0" w:firstLineChars="0"/>
              <w:rPr>
                <w:rFonts w:ascii="宋体" w:hAnsi="宋体" w:cs="宋体"/>
                <w:b/>
                <w:bCs/>
                <w:color w:val="000000"/>
                <w:szCs w:val="21"/>
              </w:rPr>
            </w:pPr>
            <w:r>
              <w:rPr>
                <w:rFonts w:hint="eastAsia" w:ascii="宋体" w:hAnsi="宋体" w:cs="宋体"/>
                <w:b/>
                <w:bCs/>
                <w:color w:val="000000"/>
                <w:szCs w:val="21"/>
              </w:rPr>
              <w:t>二、Q&amp;A环节</w:t>
            </w:r>
          </w:p>
          <w:p>
            <w:pPr>
              <w:spacing w:line="560" w:lineRule="exact"/>
              <w:ind w:firstLine="0" w:firstLineChars="0"/>
              <w:rPr>
                <w:rFonts w:ascii="宋体" w:hAnsi="宋体" w:cs="宋体"/>
                <w:b/>
                <w:bCs/>
                <w:color w:val="000000"/>
                <w:szCs w:val="21"/>
              </w:rPr>
            </w:pPr>
            <w:r>
              <w:rPr>
                <w:rFonts w:hint="eastAsia" w:ascii="宋体" w:hAnsi="宋体" w:cs="宋体"/>
                <w:b/>
                <w:bCs/>
                <w:color w:val="000000"/>
                <w:szCs w:val="21"/>
              </w:rPr>
              <w:t>1、怎么看公司的年度净利润有所下滑的情况？</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答：公司的年度净利润下滑是由于对标年度为2016年，2016年是生猪养殖行业周期的高峰期，之后行业周期进入下行通道。公司近年度净利润的下滑是由于行业周期调整导致的，并非由于企业经营不善。近年来公司按计划发展，实现阶段性经营目标，实现了高质量增长。</w:t>
            </w:r>
          </w:p>
          <w:p>
            <w:pPr>
              <w:spacing w:line="560" w:lineRule="exact"/>
              <w:ind w:firstLine="0" w:firstLineChars="0"/>
              <w:rPr>
                <w:rFonts w:ascii="宋体" w:hAnsi="宋体" w:cs="宋体"/>
                <w:b/>
                <w:bCs/>
                <w:color w:val="000000"/>
                <w:szCs w:val="21"/>
              </w:rPr>
            </w:pPr>
            <w:r>
              <w:rPr>
                <w:rFonts w:hint="eastAsia" w:ascii="宋体" w:hAnsi="宋体" w:cs="宋体"/>
                <w:b/>
                <w:bCs/>
                <w:color w:val="000000"/>
                <w:szCs w:val="21"/>
              </w:rPr>
              <w:t xml:space="preserve">2、公司对猪周期的分析？ </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答：今年上半年猪价已经达到十年来的低点，行业已经处于去产能的阶段。非洲猪瘟的出现可能会加速行业的产能出清，但具体什么时候能出现猪周期向上的拐点，现在还不好判断。</w:t>
            </w:r>
            <w:r>
              <w:rPr>
                <w:rFonts w:ascii="宋体" w:hAnsi="宋体" w:cs="宋体"/>
                <w:bCs/>
                <w:color w:val="000000"/>
                <w:szCs w:val="21"/>
              </w:rPr>
              <w:t xml:space="preserve"> </w:t>
            </w:r>
          </w:p>
          <w:p>
            <w:pPr>
              <w:spacing w:line="560" w:lineRule="exact"/>
              <w:ind w:firstLine="0" w:firstLineChars="0"/>
              <w:rPr>
                <w:rFonts w:ascii="宋体" w:hAnsi="宋体" w:cs="宋体"/>
                <w:b/>
                <w:bCs/>
                <w:color w:val="000000"/>
                <w:szCs w:val="21"/>
              </w:rPr>
            </w:pPr>
            <w:r>
              <w:rPr>
                <w:rFonts w:ascii="宋体" w:hAnsi="宋体" w:cs="宋体"/>
                <w:b/>
                <w:bCs/>
                <w:color w:val="000000"/>
                <w:szCs w:val="21"/>
              </w:rPr>
              <w:t>3</w:t>
            </w:r>
            <w:r>
              <w:rPr>
                <w:rFonts w:hint="eastAsia" w:ascii="宋体" w:hAnsi="宋体" w:cs="宋体"/>
                <w:b/>
                <w:bCs/>
                <w:color w:val="000000"/>
                <w:szCs w:val="21"/>
              </w:rPr>
              <w:t>、市场价格下降，公司会调整与农户签约的委托养殖费用吗？</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答：公司采取一批一签的方式，按合同支付委托养殖费用，目前平均每头在200元左右</w:t>
            </w:r>
            <w:r>
              <w:rPr>
                <w:rFonts w:ascii="宋体" w:hAnsi="宋体" w:cs="宋体"/>
                <w:bCs/>
                <w:color w:val="000000"/>
                <w:szCs w:val="21"/>
              </w:rPr>
              <w:t>。</w:t>
            </w:r>
            <w:r>
              <w:rPr>
                <w:rFonts w:hint="eastAsia" w:ascii="宋体" w:hAnsi="宋体" w:cs="宋体"/>
                <w:bCs/>
                <w:color w:val="000000"/>
                <w:szCs w:val="21"/>
              </w:rPr>
              <w:t>公司通过引导合作农户对养殖场的升级改造，提高合作农户单批饲养规模和饲养效率，来提高其整体养殖效益。不同合作农户的委托养殖费用可能会因其个人饲养生产成绩表现不同，而有所差异。</w:t>
            </w:r>
          </w:p>
          <w:p>
            <w:pPr>
              <w:spacing w:line="560" w:lineRule="exact"/>
              <w:ind w:firstLine="0" w:firstLineChars="0"/>
              <w:rPr>
                <w:rFonts w:ascii="宋体" w:hAnsi="宋体" w:cs="宋体"/>
                <w:b/>
                <w:bCs/>
                <w:color w:val="000000"/>
                <w:szCs w:val="21"/>
              </w:rPr>
            </w:pPr>
            <w:r>
              <w:rPr>
                <w:rFonts w:ascii="宋体" w:hAnsi="宋体" w:cs="宋体"/>
                <w:b/>
                <w:bCs/>
                <w:color w:val="000000"/>
                <w:szCs w:val="21"/>
              </w:rPr>
              <w:t>4</w:t>
            </w:r>
            <w:r>
              <w:rPr>
                <w:rFonts w:hint="eastAsia" w:ascii="宋体" w:hAnsi="宋体" w:cs="宋体"/>
                <w:b/>
                <w:bCs/>
                <w:color w:val="000000"/>
                <w:szCs w:val="21"/>
              </w:rPr>
              <w:t>、禁运政策未来会收紧或放松？</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答：按农业农村部通知，非洲猪瘟疫情省以及与疫情省相邻的省份暂停生猪跨省调运，并暂时关闭省内所有生猪交易市场。目前国家出台规模养殖场与大型屠宰企业的点对点调运方案，控制疫情同时应对禁运政策带来的生猪销售流通受阻问题。未来禁运政策的收紧和放松，应该与疫情的转归趋势相适应。</w:t>
            </w:r>
          </w:p>
          <w:p>
            <w:pPr>
              <w:spacing w:line="560" w:lineRule="exact"/>
              <w:ind w:firstLine="0" w:firstLineChars="0"/>
              <w:rPr>
                <w:rFonts w:ascii="宋体" w:hAnsi="宋体" w:cs="宋体"/>
                <w:b/>
                <w:bCs/>
                <w:color w:val="000000"/>
                <w:szCs w:val="21"/>
              </w:rPr>
            </w:pPr>
            <w:r>
              <w:rPr>
                <w:rFonts w:hint="eastAsia" w:ascii="宋体" w:hAnsi="宋体" w:cs="宋体"/>
                <w:b/>
                <w:bCs/>
                <w:color w:val="000000"/>
                <w:szCs w:val="21"/>
              </w:rPr>
              <w:t>5、非洲猪瘟会影响公司未来的出栏计划吗？</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答：公司未来2年的出栏计划暂时没有改变。假如疫情的影响程度持续加深，公司会对各区域的情况进行深入调研，详细论证，再作出相应调整。</w:t>
            </w:r>
          </w:p>
          <w:p>
            <w:pPr>
              <w:tabs>
                <w:tab w:val="left" w:pos="1770"/>
              </w:tabs>
              <w:spacing w:line="560" w:lineRule="exact"/>
              <w:ind w:firstLine="0" w:firstLineChars="0"/>
              <w:rPr>
                <w:rFonts w:ascii="宋体" w:hAnsi="宋体" w:cs="宋体"/>
                <w:b/>
                <w:bCs/>
                <w:color w:val="000000"/>
                <w:szCs w:val="21"/>
              </w:rPr>
            </w:pPr>
            <w:r>
              <w:rPr>
                <w:rFonts w:ascii="宋体" w:hAnsi="宋体" w:cs="宋体"/>
                <w:b/>
                <w:bCs/>
                <w:color w:val="000000"/>
                <w:szCs w:val="21"/>
              </w:rPr>
              <w:t>6</w:t>
            </w:r>
            <w:r>
              <w:rPr>
                <w:rFonts w:hint="eastAsia" w:ascii="宋体" w:hAnsi="宋体" w:cs="宋体"/>
                <w:b/>
                <w:bCs/>
                <w:color w:val="000000"/>
                <w:szCs w:val="21"/>
              </w:rPr>
              <w:t>、公司每年对信息化建设的投入</w:t>
            </w:r>
            <w:r>
              <w:rPr>
                <w:rFonts w:ascii="宋体" w:hAnsi="宋体" w:cs="宋体"/>
                <w:b/>
                <w:bCs/>
                <w:color w:val="000000"/>
                <w:szCs w:val="21"/>
              </w:rPr>
              <w:t>？</w:t>
            </w:r>
          </w:p>
          <w:p>
            <w:pPr>
              <w:spacing w:line="560" w:lineRule="exact"/>
              <w:ind w:firstLine="0" w:firstLineChars="0"/>
              <w:rPr>
                <w:rFonts w:ascii="宋体" w:hAnsi="宋体" w:cs="宋体"/>
                <w:bCs/>
                <w:color w:val="000000"/>
                <w:szCs w:val="21"/>
              </w:rPr>
            </w:pPr>
            <w:r>
              <w:rPr>
                <w:rFonts w:hint="eastAsia" w:ascii="宋体" w:hAnsi="宋体" w:cs="宋体"/>
                <w:bCs/>
                <w:color w:val="000000"/>
                <w:szCs w:val="21"/>
              </w:rPr>
              <w:t>答：每年都有比较稳定的投入</w:t>
            </w:r>
            <w:r>
              <w:rPr>
                <w:rFonts w:ascii="宋体" w:hAnsi="宋体" w:cs="宋体"/>
                <w:bCs/>
                <w:color w:val="000000"/>
                <w:szCs w:val="21"/>
              </w:rPr>
              <w:t>,</w:t>
            </w:r>
            <w:r>
              <w:rPr>
                <w:rFonts w:hint="eastAsia" w:ascii="宋体" w:hAnsi="宋体" w:cs="宋体"/>
                <w:bCs/>
                <w:color w:val="000000"/>
                <w:szCs w:val="21"/>
              </w:rPr>
              <w:t>主要用于软件开发，硬件的采购与更新等。</w:t>
            </w:r>
          </w:p>
          <w:p>
            <w:pPr>
              <w:tabs>
                <w:tab w:val="left" w:pos="1770"/>
              </w:tabs>
              <w:spacing w:line="560" w:lineRule="exact"/>
              <w:ind w:firstLine="0" w:firstLineChars="0"/>
              <w:rPr>
                <w:rFonts w:ascii="宋体" w:hAnsi="宋体" w:cs="宋体"/>
                <w:b/>
                <w:bCs/>
                <w:color w:val="000000"/>
                <w:szCs w:val="21"/>
              </w:rPr>
            </w:pPr>
            <w:r>
              <w:rPr>
                <w:rFonts w:ascii="宋体" w:hAnsi="宋体" w:cs="宋体"/>
                <w:b/>
                <w:bCs/>
                <w:color w:val="000000"/>
                <w:szCs w:val="21"/>
              </w:rPr>
              <w:t>7</w:t>
            </w:r>
            <w:r>
              <w:rPr>
                <w:rFonts w:hint="eastAsia" w:ascii="宋体" w:hAnsi="宋体" w:cs="宋体"/>
                <w:b/>
                <w:bCs/>
                <w:color w:val="000000"/>
                <w:szCs w:val="21"/>
              </w:rPr>
              <w:t>、公司的育种优势？</w:t>
            </w:r>
          </w:p>
          <w:p>
            <w:pPr>
              <w:tabs>
                <w:tab w:val="left" w:pos="1770"/>
              </w:tabs>
              <w:spacing w:line="560" w:lineRule="exact"/>
              <w:ind w:firstLine="0" w:firstLineChars="0"/>
              <w:rPr>
                <w:rFonts w:ascii="宋体" w:hAnsi="宋体" w:cs="宋体"/>
                <w:bCs/>
                <w:color w:val="000000"/>
                <w:szCs w:val="21"/>
              </w:rPr>
            </w:pPr>
            <w:r>
              <w:rPr>
                <w:rFonts w:hint="eastAsia" w:ascii="宋体" w:hAnsi="宋体" w:cs="宋体"/>
                <w:bCs/>
                <w:color w:val="000000"/>
                <w:szCs w:val="21"/>
              </w:rPr>
              <w:t>答：1）丰富的种质资源。公司核心种猪群规模在国内同行中处于领先优势,经过多年的研究和培育，已形成自己的各种配套系；</w:t>
            </w:r>
          </w:p>
          <w:p>
            <w:pPr>
              <w:tabs>
                <w:tab w:val="left" w:pos="1770"/>
              </w:tabs>
              <w:spacing w:line="560" w:lineRule="exact"/>
              <w:ind w:firstLine="0" w:firstLineChars="0"/>
              <w:rPr>
                <w:rFonts w:ascii="宋体" w:hAnsi="宋体" w:cs="宋体"/>
                <w:bCs/>
                <w:color w:val="000000"/>
                <w:szCs w:val="21"/>
              </w:rPr>
            </w:pPr>
            <w:r>
              <w:rPr>
                <w:rFonts w:hint="eastAsia" w:ascii="宋体" w:hAnsi="宋体" w:cs="宋体"/>
                <w:bCs/>
                <w:color w:val="000000"/>
                <w:szCs w:val="21"/>
              </w:rPr>
              <w:t>2）专业的育种队伍。公司有一支专业的育种队伍，育种体系完善；</w:t>
            </w:r>
          </w:p>
          <w:p>
            <w:pPr>
              <w:tabs>
                <w:tab w:val="left" w:pos="1770"/>
              </w:tabs>
              <w:spacing w:line="560" w:lineRule="exact"/>
              <w:ind w:firstLine="0" w:firstLineChars="0"/>
              <w:rPr>
                <w:rFonts w:ascii="宋体" w:hAnsi="宋体" w:cs="宋体"/>
                <w:bCs/>
                <w:color w:val="000000"/>
                <w:szCs w:val="21"/>
              </w:rPr>
            </w:pPr>
            <w:r>
              <w:rPr>
                <w:rFonts w:hint="eastAsia" w:ascii="宋体" w:hAnsi="宋体" w:cs="宋体"/>
                <w:bCs/>
                <w:color w:val="000000"/>
                <w:szCs w:val="21"/>
              </w:rPr>
              <w:t>3）多样化的成果转化基地。随着公司肉猪规模和布局的扩大，各种配套系可以得到有效的成果转化，根据各地对猪的需求不同生产出各具特色的商品肉猪产品。</w:t>
            </w:r>
          </w:p>
          <w:p>
            <w:pPr>
              <w:tabs>
                <w:tab w:val="left" w:pos="1770"/>
              </w:tabs>
              <w:spacing w:line="560" w:lineRule="exact"/>
              <w:ind w:firstLine="0" w:firstLineChars="0"/>
              <w:rPr>
                <w:rFonts w:ascii="宋体" w:hAnsi="宋体" w:cs="宋体"/>
                <w:b/>
                <w:bCs/>
                <w:color w:val="000000"/>
                <w:szCs w:val="21"/>
              </w:rPr>
            </w:pPr>
            <w:r>
              <w:rPr>
                <w:rFonts w:hint="eastAsia" w:ascii="宋体" w:hAnsi="宋体" w:cs="宋体"/>
                <w:b/>
                <w:bCs/>
                <w:color w:val="000000"/>
                <w:szCs w:val="21"/>
              </w:rPr>
              <w:t>8、企业的产能计划为什么稳定在10-20%的扩张速度？</w:t>
            </w:r>
          </w:p>
          <w:p>
            <w:pPr>
              <w:tabs>
                <w:tab w:val="left" w:pos="1770"/>
              </w:tabs>
              <w:spacing w:line="560" w:lineRule="exact"/>
              <w:ind w:firstLine="0" w:firstLineChars="0"/>
              <w:rPr>
                <w:rFonts w:ascii="宋体" w:hAnsi="宋体" w:cs="宋体"/>
                <w:bCs/>
                <w:color w:val="000000"/>
                <w:szCs w:val="21"/>
              </w:rPr>
            </w:pPr>
            <w:r>
              <w:rPr>
                <w:rFonts w:hint="eastAsia" w:ascii="宋体" w:hAnsi="宋体" w:cs="宋体"/>
                <w:bCs/>
                <w:color w:val="000000"/>
                <w:szCs w:val="21"/>
              </w:rPr>
              <w:t>答：公司采取稳健的经营策略，实现高质量增长。根据市场需求和企业自身发展情况制定对应的产能计划。</w:t>
            </w:r>
          </w:p>
          <w:p>
            <w:pPr>
              <w:tabs>
                <w:tab w:val="left" w:pos="1770"/>
              </w:tabs>
              <w:spacing w:line="560" w:lineRule="exact"/>
              <w:ind w:firstLine="0" w:firstLineChars="0"/>
              <w:rPr>
                <w:rFonts w:ascii="宋体" w:hAnsi="宋体" w:cs="宋体"/>
                <w:b/>
                <w:bCs/>
                <w:color w:val="000000"/>
                <w:szCs w:val="21"/>
              </w:rPr>
            </w:pPr>
            <w:r>
              <w:rPr>
                <w:rFonts w:hint="eastAsia" w:ascii="宋体" w:hAnsi="宋体" w:cs="宋体"/>
                <w:b/>
                <w:bCs/>
                <w:color w:val="000000"/>
                <w:szCs w:val="21"/>
              </w:rPr>
              <w:t>9、公司屠宰业务的现状？</w:t>
            </w:r>
          </w:p>
          <w:p>
            <w:pPr>
              <w:tabs>
                <w:tab w:val="left" w:pos="1770"/>
              </w:tabs>
              <w:spacing w:line="560" w:lineRule="exact"/>
              <w:ind w:firstLine="0" w:firstLineChars="0"/>
              <w:rPr>
                <w:rFonts w:ascii="宋体" w:hAnsi="宋体" w:cs="宋体"/>
                <w:bCs/>
                <w:color w:val="000000"/>
                <w:szCs w:val="21"/>
              </w:rPr>
            </w:pPr>
            <w:r>
              <w:rPr>
                <w:rFonts w:hint="eastAsia" w:ascii="宋体" w:hAnsi="宋体" w:cs="宋体"/>
                <w:bCs/>
                <w:color w:val="000000"/>
                <w:szCs w:val="21"/>
              </w:rPr>
              <w:t>答：屠宰业务仍处于探索阶段，主要是为完善公司的产业链。</w:t>
            </w:r>
          </w:p>
          <w:p>
            <w:pPr>
              <w:tabs>
                <w:tab w:val="left" w:pos="1770"/>
              </w:tabs>
              <w:spacing w:line="560" w:lineRule="exact"/>
              <w:ind w:firstLine="0" w:firstLineChars="0"/>
              <w:rPr>
                <w:rFonts w:ascii="宋体" w:hAnsi="宋体" w:cs="宋体"/>
                <w:b/>
                <w:bCs/>
                <w:color w:val="000000"/>
                <w:szCs w:val="21"/>
              </w:rPr>
            </w:pPr>
            <w:r>
              <w:rPr>
                <w:rFonts w:hint="eastAsia" w:ascii="宋体" w:hAnsi="宋体" w:cs="宋体"/>
                <w:b/>
                <w:bCs/>
                <w:color w:val="000000"/>
                <w:szCs w:val="21"/>
              </w:rPr>
              <w:t>10、公司有培育高端肉猪品种吗？</w:t>
            </w:r>
          </w:p>
          <w:p>
            <w:pPr>
              <w:tabs>
                <w:tab w:val="left" w:pos="1770"/>
              </w:tabs>
              <w:spacing w:line="560" w:lineRule="exact"/>
              <w:ind w:firstLine="0" w:firstLineChars="0"/>
              <w:rPr>
                <w:rFonts w:ascii="宋体" w:hAnsi="宋体" w:cs="宋体"/>
                <w:bCs/>
                <w:color w:val="000000"/>
                <w:szCs w:val="21"/>
              </w:rPr>
            </w:pPr>
            <w:r>
              <w:rPr>
                <w:rFonts w:hint="eastAsia" w:ascii="宋体" w:hAnsi="宋体" w:cs="宋体"/>
                <w:bCs/>
                <w:color w:val="000000"/>
                <w:szCs w:val="21"/>
              </w:rPr>
              <w:t xml:space="preserve">答：公司有培育特色、高端的肉猪品种，如天露黑猪等。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8"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ind w:firstLine="0" w:firstLineChars="0"/>
              <w:rPr>
                <w:rFonts w:ascii="宋体" w:hAnsi="宋体" w:cs="宋体"/>
                <w:bCs/>
                <w:iCs/>
                <w:color w:val="000000"/>
                <w:szCs w:val="21"/>
              </w:rPr>
            </w:pPr>
            <w:r>
              <w:rPr>
                <w:rFonts w:hint="eastAsia" w:ascii="宋体" w:hAnsi="宋体" w:cs="宋体"/>
                <w:bCs/>
                <w:iCs/>
                <w:color w:val="000000"/>
                <w:szCs w:val="21"/>
              </w:rPr>
              <w:t>附件清单（如有）</w:t>
            </w:r>
          </w:p>
        </w:tc>
        <w:tc>
          <w:tcPr>
            <w:tcW w:w="7699" w:type="dxa"/>
            <w:tcBorders>
              <w:top w:val="single" w:color="auto" w:sz="4" w:space="0"/>
              <w:left w:val="single" w:color="auto" w:sz="4" w:space="0"/>
              <w:bottom w:val="single" w:color="auto" w:sz="4" w:space="0"/>
              <w:right w:val="single" w:color="auto" w:sz="4" w:space="0"/>
            </w:tcBorders>
          </w:tcPr>
          <w:p>
            <w:pPr>
              <w:pStyle w:val="5"/>
              <w:shd w:val="clear" w:color="auto" w:fill="FFFFFF"/>
              <w:spacing w:before="0" w:beforeAutospacing="0" w:after="0" w:afterAutospacing="0" w:line="360" w:lineRule="auto"/>
              <w:ind w:firstLine="0" w:firstLineChars="0"/>
              <w:jc w:val="both"/>
              <w:rPr>
                <w:rFonts w:ascii="宋体" w:hAnsi="宋体" w:cs="宋体"/>
                <w:bCs/>
                <w:color w:val="000000"/>
                <w:sz w:val="21"/>
                <w:szCs w:val="21"/>
                <w:shd w:val="clear" w:color="auto" w:fill="FFFFFF"/>
              </w:rPr>
            </w:pPr>
            <w:r>
              <w:rPr>
                <w:rFonts w:hint="eastAsia" w:ascii="宋体" w:hAnsi="宋体" w:cs="宋体"/>
                <w:kern w:val="2"/>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928"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ind w:firstLine="0" w:firstLineChars="0"/>
              <w:rPr>
                <w:rFonts w:ascii="宋体" w:hAnsi="宋体" w:cs="宋体"/>
                <w:bCs/>
                <w:iCs/>
                <w:color w:val="000000"/>
                <w:szCs w:val="21"/>
              </w:rPr>
            </w:pPr>
            <w:r>
              <w:rPr>
                <w:rFonts w:hint="eastAsia" w:ascii="宋体" w:hAnsi="宋体" w:cs="宋体"/>
                <w:bCs/>
                <w:iCs/>
                <w:color w:val="000000"/>
                <w:szCs w:val="21"/>
              </w:rPr>
              <w:t>日期</w:t>
            </w:r>
          </w:p>
        </w:tc>
        <w:tc>
          <w:tcPr>
            <w:tcW w:w="7699" w:type="dxa"/>
            <w:tcBorders>
              <w:top w:val="single" w:color="auto" w:sz="4" w:space="0"/>
              <w:left w:val="single" w:color="auto" w:sz="4" w:space="0"/>
              <w:bottom w:val="single" w:color="auto" w:sz="4" w:space="0"/>
              <w:right w:val="single" w:color="auto" w:sz="4" w:space="0"/>
            </w:tcBorders>
          </w:tcPr>
          <w:p>
            <w:pPr>
              <w:pStyle w:val="5"/>
              <w:shd w:val="clear" w:color="auto" w:fill="FFFFFF"/>
              <w:spacing w:before="0" w:beforeAutospacing="0" w:after="0" w:afterAutospacing="0" w:line="360" w:lineRule="auto"/>
              <w:ind w:firstLine="0" w:firstLineChars="0"/>
              <w:jc w:val="both"/>
              <w:rPr>
                <w:rFonts w:ascii="宋体" w:hAnsi="宋体" w:cs="宋体"/>
                <w:bCs/>
                <w:color w:val="000000"/>
                <w:sz w:val="21"/>
                <w:szCs w:val="21"/>
                <w:shd w:val="clear" w:color="auto" w:fill="FFFFFF"/>
              </w:rPr>
            </w:pPr>
            <w:r>
              <w:rPr>
                <w:rFonts w:hint="eastAsia" w:ascii="宋体" w:hAnsi="宋体" w:cs="宋体"/>
                <w:bCs/>
                <w:iCs/>
                <w:color w:val="000000"/>
                <w:kern w:val="2"/>
                <w:sz w:val="21"/>
                <w:szCs w:val="21"/>
              </w:rPr>
              <w:t>2018年12月19日</w:t>
            </w:r>
          </w:p>
        </w:tc>
      </w:tr>
    </w:tbl>
    <w:p>
      <w:pPr>
        <w:tabs>
          <w:tab w:val="left" w:pos="855"/>
        </w:tabs>
        <w:spacing w:line="240" w:lineRule="auto"/>
        <w:ind w:firstLine="0" w:firstLineChars="0"/>
        <w:rPr>
          <w:rFonts w:ascii="宋体" w:hAnsi="宋体"/>
          <w:color w:val="000000"/>
          <w:sz w:val="18"/>
          <w:szCs w:val="18"/>
        </w:rPr>
      </w:pPr>
    </w:p>
    <w:p>
      <w:pPr>
        <w:ind w:firstLine="420"/>
      </w:pPr>
    </w:p>
    <w:sectPr>
      <w:headerReference r:id="rId5" w:type="first"/>
      <w:footerReference r:id="rId8" w:type="first"/>
      <w:headerReference r:id="rId3" w:type="default"/>
      <w:footerReference r:id="rId6" w:type="default"/>
      <w:headerReference r:id="rId4" w:type="even"/>
      <w:footerReference r:id="rId7" w:type="even"/>
      <w:pgSz w:w="11905" w:h="16840"/>
      <w:pgMar w:top="1928" w:right="1247" w:bottom="1701" w:left="1247" w:header="72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2010600030101010101"/>
    <w:charset w:val="86"/>
    <w:family w:val="script"/>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Wingdings 2">
    <w:panose1 w:val="05020102010507070707"/>
    <w:charset w:val="02"/>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5F"/>
    <w:rsid w:val="00003831"/>
    <w:rsid w:val="00003AF8"/>
    <w:rsid w:val="00006BB7"/>
    <w:rsid w:val="00015166"/>
    <w:rsid w:val="00061EEC"/>
    <w:rsid w:val="0008094C"/>
    <w:rsid w:val="000A40E1"/>
    <w:rsid w:val="000A61F6"/>
    <w:rsid w:val="000A70EA"/>
    <w:rsid w:val="000B2371"/>
    <w:rsid w:val="000B74E2"/>
    <w:rsid w:val="000C2295"/>
    <w:rsid w:val="000D0832"/>
    <w:rsid w:val="000F3488"/>
    <w:rsid w:val="00123B5F"/>
    <w:rsid w:val="00133F8C"/>
    <w:rsid w:val="0013556C"/>
    <w:rsid w:val="00162443"/>
    <w:rsid w:val="001652BE"/>
    <w:rsid w:val="001A0B8D"/>
    <w:rsid w:val="00200246"/>
    <w:rsid w:val="0020150F"/>
    <w:rsid w:val="00203C54"/>
    <w:rsid w:val="0021356F"/>
    <w:rsid w:val="00216547"/>
    <w:rsid w:val="00220E21"/>
    <w:rsid w:val="00227125"/>
    <w:rsid w:val="00227179"/>
    <w:rsid w:val="0023382F"/>
    <w:rsid w:val="00234079"/>
    <w:rsid w:val="00256005"/>
    <w:rsid w:val="00265404"/>
    <w:rsid w:val="00282ADF"/>
    <w:rsid w:val="00294A6A"/>
    <w:rsid w:val="002B50FA"/>
    <w:rsid w:val="002B72D6"/>
    <w:rsid w:val="002C0A29"/>
    <w:rsid w:val="002D003A"/>
    <w:rsid w:val="002E552B"/>
    <w:rsid w:val="00304CBC"/>
    <w:rsid w:val="003074F3"/>
    <w:rsid w:val="003119B7"/>
    <w:rsid w:val="00314FDD"/>
    <w:rsid w:val="00327EDE"/>
    <w:rsid w:val="00335640"/>
    <w:rsid w:val="00345349"/>
    <w:rsid w:val="00346B6F"/>
    <w:rsid w:val="00381496"/>
    <w:rsid w:val="00384CE5"/>
    <w:rsid w:val="00386D14"/>
    <w:rsid w:val="00386F4B"/>
    <w:rsid w:val="003B4F14"/>
    <w:rsid w:val="003D30A9"/>
    <w:rsid w:val="003D6F69"/>
    <w:rsid w:val="003E4E37"/>
    <w:rsid w:val="004019FD"/>
    <w:rsid w:val="0040541A"/>
    <w:rsid w:val="004058CF"/>
    <w:rsid w:val="004506D0"/>
    <w:rsid w:val="00456E88"/>
    <w:rsid w:val="004769FB"/>
    <w:rsid w:val="00477F8D"/>
    <w:rsid w:val="00487007"/>
    <w:rsid w:val="004B5895"/>
    <w:rsid w:val="004C06C6"/>
    <w:rsid w:val="005147B5"/>
    <w:rsid w:val="0053194F"/>
    <w:rsid w:val="005528D1"/>
    <w:rsid w:val="00572787"/>
    <w:rsid w:val="00596366"/>
    <w:rsid w:val="005A3444"/>
    <w:rsid w:val="005E74BE"/>
    <w:rsid w:val="00622FE2"/>
    <w:rsid w:val="00624C73"/>
    <w:rsid w:val="00627B5F"/>
    <w:rsid w:val="006301BD"/>
    <w:rsid w:val="006303DB"/>
    <w:rsid w:val="006550A6"/>
    <w:rsid w:val="00667FAE"/>
    <w:rsid w:val="00691A17"/>
    <w:rsid w:val="006C1926"/>
    <w:rsid w:val="006C259C"/>
    <w:rsid w:val="006E5C3C"/>
    <w:rsid w:val="006F52AA"/>
    <w:rsid w:val="00704992"/>
    <w:rsid w:val="007300C6"/>
    <w:rsid w:val="00746170"/>
    <w:rsid w:val="00754C09"/>
    <w:rsid w:val="00756EE2"/>
    <w:rsid w:val="007840F2"/>
    <w:rsid w:val="007975C3"/>
    <w:rsid w:val="007C33BE"/>
    <w:rsid w:val="007D6CDC"/>
    <w:rsid w:val="007E0412"/>
    <w:rsid w:val="00803C2C"/>
    <w:rsid w:val="00807CF1"/>
    <w:rsid w:val="00831A13"/>
    <w:rsid w:val="008424DC"/>
    <w:rsid w:val="00856D05"/>
    <w:rsid w:val="00885748"/>
    <w:rsid w:val="008A2A3E"/>
    <w:rsid w:val="00926F87"/>
    <w:rsid w:val="009355F3"/>
    <w:rsid w:val="00941182"/>
    <w:rsid w:val="00964E7C"/>
    <w:rsid w:val="00966590"/>
    <w:rsid w:val="00980912"/>
    <w:rsid w:val="0099724F"/>
    <w:rsid w:val="009A6A51"/>
    <w:rsid w:val="009D673F"/>
    <w:rsid w:val="00A04769"/>
    <w:rsid w:val="00A04909"/>
    <w:rsid w:val="00A079EE"/>
    <w:rsid w:val="00A16350"/>
    <w:rsid w:val="00A53624"/>
    <w:rsid w:val="00A55D73"/>
    <w:rsid w:val="00A7046C"/>
    <w:rsid w:val="00A72538"/>
    <w:rsid w:val="00A80DBE"/>
    <w:rsid w:val="00A81496"/>
    <w:rsid w:val="00A835C7"/>
    <w:rsid w:val="00AA62E3"/>
    <w:rsid w:val="00AC233C"/>
    <w:rsid w:val="00AD2F2C"/>
    <w:rsid w:val="00AF3DA5"/>
    <w:rsid w:val="00B16E83"/>
    <w:rsid w:val="00B27106"/>
    <w:rsid w:val="00B31730"/>
    <w:rsid w:val="00B32A29"/>
    <w:rsid w:val="00B362A7"/>
    <w:rsid w:val="00B40637"/>
    <w:rsid w:val="00B843A7"/>
    <w:rsid w:val="00B9075C"/>
    <w:rsid w:val="00B911B3"/>
    <w:rsid w:val="00B947F3"/>
    <w:rsid w:val="00B94F9D"/>
    <w:rsid w:val="00BD6226"/>
    <w:rsid w:val="00BF4E57"/>
    <w:rsid w:val="00BF6024"/>
    <w:rsid w:val="00BF7456"/>
    <w:rsid w:val="00C16190"/>
    <w:rsid w:val="00C21B40"/>
    <w:rsid w:val="00C238DF"/>
    <w:rsid w:val="00C241ED"/>
    <w:rsid w:val="00C547E9"/>
    <w:rsid w:val="00C6031B"/>
    <w:rsid w:val="00C67391"/>
    <w:rsid w:val="00C6754C"/>
    <w:rsid w:val="00C679D9"/>
    <w:rsid w:val="00CA13DF"/>
    <w:rsid w:val="00CA1C31"/>
    <w:rsid w:val="00CB57D0"/>
    <w:rsid w:val="00CD434C"/>
    <w:rsid w:val="00CE7757"/>
    <w:rsid w:val="00D01422"/>
    <w:rsid w:val="00D062E9"/>
    <w:rsid w:val="00D1789F"/>
    <w:rsid w:val="00D22270"/>
    <w:rsid w:val="00D3663A"/>
    <w:rsid w:val="00D44E37"/>
    <w:rsid w:val="00D55479"/>
    <w:rsid w:val="00D66D4C"/>
    <w:rsid w:val="00D9631C"/>
    <w:rsid w:val="00DC11FD"/>
    <w:rsid w:val="00DE36C0"/>
    <w:rsid w:val="00DF4CEE"/>
    <w:rsid w:val="00E222A3"/>
    <w:rsid w:val="00E35BCD"/>
    <w:rsid w:val="00E45140"/>
    <w:rsid w:val="00E529E7"/>
    <w:rsid w:val="00E8134B"/>
    <w:rsid w:val="00E90341"/>
    <w:rsid w:val="00E90C3B"/>
    <w:rsid w:val="00EC52B3"/>
    <w:rsid w:val="00EC7EB1"/>
    <w:rsid w:val="00EF3C9D"/>
    <w:rsid w:val="00EF749D"/>
    <w:rsid w:val="00F02662"/>
    <w:rsid w:val="00F140BD"/>
    <w:rsid w:val="00F320A2"/>
    <w:rsid w:val="00F429CA"/>
    <w:rsid w:val="00F46484"/>
    <w:rsid w:val="00F57958"/>
    <w:rsid w:val="00F6061F"/>
    <w:rsid w:val="00F65616"/>
    <w:rsid w:val="00F77664"/>
    <w:rsid w:val="00F8066B"/>
    <w:rsid w:val="00F842ED"/>
    <w:rsid w:val="00F97063"/>
    <w:rsid w:val="00FA3B26"/>
    <w:rsid w:val="00FB2A10"/>
    <w:rsid w:val="00FB713B"/>
    <w:rsid w:val="00FD00C5"/>
    <w:rsid w:val="00FF1B04"/>
    <w:rsid w:val="00FF3329"/>
    <w:rsid w:val="049938A3"/>
    <w:rsid w:val="1836702B"/>
    <w:rsid w:val="1FA53026"/>
    <w:rsid w:val="264C1691"/>
    <w:rsid w:val="2F9C0A34"/>
    <w:rsid w:val="31DA2AAB"/>
    <w:rsid w:val="32783C7E"/>
    <w:rsid w:val="3F5968CF"/>
    <w:rsid w:val="460B2F12"/>
    <w:rsid w:val="5D4B3015"/>
    <w:rsid w:val="62D857FF"/>
    <w:rsid w:val="70F238D7"/>
    <w:rsid w:val="73CF5BF4"/>
    <w:rsid w:val="779B5911"/>
    <w:rsid w:val="7BF93641"/>
    <w:rsid w:val="7E080B6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40" w:lineRule="exact"/>
      <w:ind w:firstLine="200" w:firstLineChars="200"/>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qFormat/>
    <w:uiPriority w:val="99"/>
    <w:pPr>
      <w:spacing w:line="240" w:lineRule="auto"/>
    </w:pPr>
    <w:rPr>
      <w:sz w:val="18"/>
      <w:szCs w:val="18"/>
    </w:rPr>
  </w:style>
  <w:style w:type="paragraph" w:styleId="3">
    <w:name w:val="footer"/>
    <w:basedOn w:val="1"/>
    <w:link w:val="8"/>
    <w:unhideWhenUsed/>
    <w:qFormat/>
    <w:uiPriority w:val="99"/>
    <w:pPr>
      <w:tabs>
        <w:tab w:val="center" w:pos="4153"/>
        <w:tab w:val="right" w:pos="8306"/>
      </w:tabs>
      <w:snapToGrid w:val="0"/>
      <w:spacing w:line="240" w:lineRule="atLeast"/>
    </w:pPr>
    <w:rPr>
      <w:rFonts w:asciiTheme="minorHAnsi" w:hAnsiTheme="minorHAnsi" w:eastAsiaTheme="minorEastAsia" w:cstheme="minorBidi"/>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spacing w:line="240" w:lineRule="atLeast"/>
      <w:jc w:val="center"/>
    </w:pPr>
    <w:rPr>
      <w:rFonts w:asciiTheme="minorHAnsi" w:hAnsiTheme="minorHAnsi" w:eastAsiaTheme="minorEastAsia" w:cstheme="minorBidi"/>
      <w:sz w:val="18"/>
      <w:szCs w:val="18"/>
    </w:rPr>
  </w:style>
  <w:style w:type="paragraph" w:styleId="5">
    <w:name w:val="Normal (Web)"/>
    <w:basedOn w:val="1"/>
    <w:unhideWhenUsed/>
    <w:qFormat/>
    <w:uiPriority w:val="99"/>
    <w:pPr>
      <w:spacing w:before="100" w:beforeAutospacing="1" w:after="100" w:afterAutospacing="1"/>
    </w:pPr>
    <w:rPr>
      <w:rFonts w:ascii="Calibri" w:hAnsi="Calibri"/>
      <w:kern w:val="0"/>
      <w:sz w:val="24"/>
    </w:rPr>
  </w:style>
  <w:style w:type="character" w:customStyle="1" w:styleId="8">
    <w:name w:val="页脚字符"/>
    <w:link w:val="3"/>
    <w:qFormat/>
    <w:uiPriority w:val="99"/>
    <w:rPr>
      <w:sz w:val="18"/>
      <w:szCs w:val="18"/>
    </w:rPr>
  </w:style>
  <w:style w:type="character" w:customStyle="1" w:styleId="9">
    <w:name w:val="页眉字符"/>
    <w:link w:val="4"/>
    <w:qFormat/>
    <w:uiPriority w:val="99"/>
    <w:rPr>
      <w:sz w:val="18"/>
      <w:szCs w:val="18"/>
    </w:rPr>
  </w:style>
  <w:style w:type="character" w:customStyle="1" w:styleId="10">
    <w:name w:val="页眉字符1"/>
    <w:basedOn w:val="6"/>
    <w:semiHidden/>
    <w:qFormat/>
    <w:uiPriority w:val="99"/>
    <w:rPr>
      <w:rFonts w:ascii="Times New Roman" w:hAnsi="Times New Roman" w:eastAsia="宋体" w:cs="Times New Roman"/>
      <w:sz w:val="18"/>
      <w:szCs w:val="18"/>
    </w:rPr>
  </w:style>
  <w:style w:type="character" w:customStyle="1" w:styleId="11">
    <w:name w:val="页脚字符1"/>
    <w:basedOn w:val="6"/>
    <w:semiHidden/>
    <w:qFormat/>
    <w:uiPriority w:val="99"/>
    <w:rPr>
      <w:rFonts w:ascii="Times New Roman" w:hAnsi="Times New Roman" w:eastAsia="宋体" w:cs="Times New Roman"/>
      <w:sz w:val="18"/>
      <w:szCs w:val="18"/>
    </w:rPr>
  </w:style>
  <w:style w:type="character" w:customStyle="1" w:styleId="12">
    <w:name w:val="批注框文本字符"/>
    <w:basedOn w:val="6"/>
    <w:link w:val="2"/>
    <w:semiHidden/>
    <w:qFormat/>
    <w:uiPriority w:val="99"/>
    <w:rPr>
      <w:rFonts w:ascii="Times New Roman" w:hAnsi="Times New Roman" w:eastAsia="宋体" w:cs="Times New Roman"/>
      <w:kern w:val="2"/>
      <w:sz w:val="18"/>
      <w:szCs w:val="18"/>
    </w:rPr>
  </w:style>
  <w:style w:type="paragraph" w:styleId="13">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284</Words>
  <Characters>1620</Characters>
  <Lines>13</Lines>
  <Paragraphs>3</Paragraphs>
  <TotalTime>13</TotalTime>
  <ScaleCrop>false</ScaleCrop>
  <LinksUpToDate>false</LinksUpToDate>
  <CharactersWithSpaces>1901</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2018-12-18T06:38:00Z</dcterms:created>
  <dc:creator>Microsoft Office 用户</dc:creator>
  <cp:lastModifiedBy>hycream</cp:lastModifiedBy>
  <dcterms:modified xsi:type="dcterms:W3CDTF">2018-12-19T02:01:19Z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