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Lines="50" w:afterLines="50"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>
      <w:pPr>
        <w:widowControl w:val="0"/>
        <w:spacing w:beforeLines="50" w:afterLines="50" w:line="240" w:lineRule="auto"/>
        <w:ind w:firstLine="0" w:firstLineChars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>
      <w:pPr>
        <w:widowControl w:val="0"/>
        <w:spacing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编号：201901</w:t>
      </w:r>
    </w:p>
    <w:tbl>
      <w:tblPr>
        <w:tblStyle w:val="7"/>
        <w:tblW w:w="96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7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特定对象调研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媒体采访 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新闻发布会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长江证券交流会</w:t>
            </w:r>
            <w:r>
              <w:rPr>
                <w:rFonts w:hint="eastAsia" w:ascii="宋体" w:hAnsi="宋体" w:cs="宋体"/>
                <w:szCs w:val="21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199"/>
              </w:tabs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华泰保兴-赵旭照；华泰柏瑞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eastAsia="zh-CN"/>
              </w:rPr>
              <w:t>基金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-谭笑；国寿安保-熊靓；嘉合基金-张丽荣；太平资产-赵洋；申万菱信-潘宇；鑫元基金-李彪等30家券商、机构投资者。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2019年1月10日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上海中油阳光大酒店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Q&amp;A环节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1、2018年公司商品肉猪的完全成本大概是多少？成本变化的原因？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kern w:val="0"/>
                <w:szCs w:val="21"/>
              </w:rPr>
              <w:t>公司20</w:t>
            </w:r>
            <w:r>
              <w:rPr>
                <w:rFonts w:ascii="宋体" w:hAnsi="宋体" w:cs="宋体"/>
                <w:kern w:val="0"/>
                <w:szCs w:val="21"/>
              </w:rPr>
              <w:t>18年商品</w:t>
            </w:r>
            <w:r>
              <w:rPr>
                <w:rFonts w:hint="eastAsia" w:ascii="宋体" w:hAnsi="宋体" w:cs="宋体"/>
                <w:kern w:val="0"/>
                <w:szCs w:val="21"/>
              </w:rPr>
              <w:t>肉</w:t>
            </w:r>
            <w:r>
              <w:rPr>
                <w:rFonts w:ascii="宋体" w:hAnsi="宋体" w:cs="宋体"/>
                <w:kern w:val="0"/>
                <w:szCs w:val="21"/>
              </w:rPr>
              <w:t>猪完全成本</w:t>
            </w:r>
            <w:r>
              <w:rPr>
                <w:rFonts w:hint="eastAsia" w:ascii="宋体" w:hAnsi="宋体" w:cs="宋体"/>
                <w:kern w:val="0"/>
                <w:szCs w:val="21"/>
              </w:rPr>
              <w:t>略有上升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  <w:r>
              <w:rPr>
                <w:rFonts w:hint="eastAsia" w:ascii="宋体" w:hAnsi="宋体" w:cs="宋体"/>
                <w:kern w:val="0"/>
                <w:szCs w:val="21"/>
              </w:rPr>
              <w:t>主要原因是国内自8月份发生</w:t>
            </w:r>
            <w:r>
              <w:rPr>
                <w:rFonts w:ascii="宋体" w:hAnsi="宋体" w:cs="宋体"/>
                <w:kern w:val="0"/>
                <w:szCs w:val="21"/>
              </w:rPr>
              <w:t>非洲猪瘟</w:t>
            </w:r>
            <w:r>
              <w:rPr>
                <w:rFonts w:hint="eastAsia" w:ascii="宋体" w:hAnsi="宋体" w:cs="宋体"/>
                <w:kern w:val="0"/>
                <w:szCs w:val="21"/>
              </w:rPr>
              <w:t>疫情以来，公司精力集中在防疫工作上，生产成绩略有下降，如料肉比升高等；</w:t>
            </w:r>
            <w:r>
              <w:rPr>
                <w:rFonts w:ascii="宋体" w:hAnsi="宋体" w:cs="宋体"/>
                <w:kern w:val="0"/>
                <w:szCs w:val="21"/>
              </w:rPr>
              <w:t>公司防疫费用</w:t>
            </w:r>
            <w:r>
              <w:rPr>
                <w:rFonts w:hint="eastAsia" w:ascii="宋体" w:hAnsi="宋体" w:cs="宋体"/>
                <w:kern w:val="0"/>
                <w:szCs w:val="21"/>
              </w:rPr>
              <w:t>有所</w:t>
            </w:r>
            <w:r>
              <w:rPr>
                <w:rFonts w:ascii="宋体" w:hAnsi="宋体" w:cs="宋体"/>
                <w:kern w:val="0"/>
                <w:szCs w:val="21"/>
              </w:rPr>
              <w:t>增加，</w:t>
            </w:r>
            <w:r>
              <w:rPr>
                <w:rFonts w:hint="eastAsia" w:ascii="宋体" w:hAnsi="宋体" w:cs="宋体"/>
                <w:kern w:val="0"/>
                <w:szCs w:val="21"/>
              </w:rPr>
              <w:t>一级</w:t>
            </w:r>
            <w:r>
              <w:rPr>
                <w:rFonts w:ascii="宋体" w:hAnsi="宋体" w:cs="宋体"/>
                <w:kern w:val="0"/>
                <w:szCs w:val="21"/>
              </w:rPr>
              <w:t>消毒站</w:t>
            </w:r>
            <w:r>
              <w:rPr>
                <w:rFonts w:hint="eastAsia" w:ascii="宋体" w:hAnsi="宋体" w:cs="宋体"/>
                <w:kern w:val="0"/>
                <w:szCs w:val="21"/>
              </w:rPr>
              <w:t>的建设、</w:t>
            </w:r>
            <w:r>
              <w:rPr>
                <w:rFonts w:ascii="宋体" w:hAnsi="宋体" w:cs="宋体"/>
                <w:kern w:val="0"/>
                <w:szCs w:val="21"/>
              </w:rPr>
              <w:t>消毒药</w:t>
            </w:r>
            <w:r>
              <w:rPr>
                <w:rFonts w:hint="eastAsia" w:ascii="宋体" w:hAnsi="宋体" w:cs="宋体"/>
                <w:kern w:val="0"/>
                <w:szCs w:val="21"/>
              </w:rPr>
              <w:t>物的采购及</w:t>
            </w:r>
            <w:r>
              <w:rPr>
                <w:rFonts w:ascii="宋体" w:hAnsi="宋体" w:cs="宋体"/>
                <w:kern w:val="0"/>
                <w:szCs w:val="21"/>
              </w:rPr>
              <w:t>消毒站人员工资</w:t>
            </w:r>
            <w:r>
              <w:rPr>
                <w:rFonts w:hint="eastAsia" w:ascii="宋体" w:hAnsi="宋体" w:cs="宋体"/>
                <w:kern w:val="0"/>
                <w:szCs w:val="21"/>
              </w:rPr>
              <w:t>等投入；饲料成本小幅上升的影响。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2、调运新规后公司种猪、仔猪和商品猪的调运情况是否发生了变化？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答：公司跨省调运的以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曾祖代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种猪为主，仔猪和商品猪都是省内调运。在调运新规之后经检疫合格开检疫证就可以</w:t>
            </w:r>
            <w:bookmarkStart w:id="0" w:name="_GoBack"/>
            <w:bookmarkEnd w:id="0"/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正常调运。从趋势来看，我国生猪行业会逐步从调猪向调肉转变。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3、公司怎样根据合作农户的生产成绩结算委托养殖费？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答：通常情况下，公司会根据合作农户的饲养管理绩效来评定，例如参考成活率、料肉比等指标，以及根据委托养殖合同中约定的各项流程定价来结算。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4、公司屠宰业务推进情况如何？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答：近两年，主要加大力度推进养禽业务的转型升级，新增加了一些禽业屠宰产能，肉猪屠宰从去年年初开始进行调研论证，成立了工作小组推进，目前正有序推进。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5、最近猪价下跌的原因是什么？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答：调运新规后，市场流通渠道打通，猪肉供应量增加；春节前中小养殖户加快出栏等因素。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6、公司种猪存栏量有多少？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答：目前公司拥有存栏种猪140多万头。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7、如何看待2019年黄羽鸡的价格行情？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答：2019年预计黄羽鸡出栏量比2018年出栏量有所增加。2018年黄羽鸡的平均价格创历史新高，2019年预计会回到行业周期的合理水平。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8、公司商品肉猪出栏体重是多少？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答：公司商品肉猪平均出栏体重230斤/头左右，西南地区出栏体重会大一些，260斤以上，其它区域以标准体重出栏。非洲猪瘟疫情后出栏体重有所下降，2018年平均出栏体重230斤左右。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9、合作农户的头均固定资产投入多少？合理规模多大？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答：合作农户自建猪场固定资产投入平均800-1000元/头左右。北方的合作农户养殖规模会大一些，我们现在认为合理规模是一年出栏3000头左右。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10、现在开发新的饲养场是否困难？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答：公司的温氏模式可以带动当地贫困户就业，实现乡村振兴、精准扶贫，受到各地政府的欢迎，目前基本可以满足新发展规模的需求。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11、2019年商品猪目标出栏量多少？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答：2019年商品猪出栏量预计为2400万头左右。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12、公司商品肉猪成本变化趋势？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答：由于防疫成本上升和生产成绩下降，商品肉猪成本预计还会小幅上升。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13、如何看待2019年猪价？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答：预计肉猪价格下半年好于上半年，去产能的影响预计要到下半年才能逐步体现出来。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附件清单（如有）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2019年1月11日</w:t>
            </w:r>
          </w:p>
        </w:tc>
      </w:tr>
    </w:tbl>
    <w:p>
      <w:pPr>
        <w:tabs>
          <w:tab w:val="left" w:pos="855"/>
        </w:tabs>
        <w:spacing w:line="240" w:lineRule="auto"/>
        <w:ind w:firstLine="0" w:firstLineChars="0"/>
        <w:rPr>
          <w:rFonts w:ascii="宋体" w:hAnsi="宋体"/>
          <w:color w:val="000000"/>
          <w:sz w:val="18"/>
          <w:szCs w:val="18"/>
        </w:rPr>
      </w:pPr>
    </w:p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40"/>
      <w:pgMar w:top="1928" w:right="1247" w:bottom="1701" w:left="1247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831"/>
    <w:rsid w:val="00003AF8"/>
    <w:rsid w:val="00006BB7"/>
    <w:rsid w:val="00015166"/>
    <w:rsid w:val="00061EEC"/>
    <w:rsid w:val="0008094C"/>
    <w:rsid w:val="000A40E1"/>
    <w:rsid w:val="000A61F6"/>
    <w:rsid w:val="000A70EA"/>
    <w:rsid w:val="000B2371"/>
    <w:rsid w:val="000B74E2"/>
    <w:rsid w:val="000C2295"/>
    <w:rsid w:val="000D0832"/>
    <w:rsid w:val="000F3488"/>
    <w:rsid w:val="00123B5F"/>
    <w:rsid w:val="00133F8C"/>
    <w:rsid w:val="0013556C"/>
    <w:rsid w:val="00162443"/>
    <w:rsid w:val="001652BE"/>
    <w:rsid w:val="00172A27"/>
    <w:rsid w:val="001A0B8D"/>
    <w:rsid w:val="00200246"/>
    <w:rsid w:val="0020150F"/>
    <w:rsid w:val="00203C54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B50FA"/>
    <w:rsid w:val="002B72D6"/>
    <w:rsid w:val="002C0A29"/>
    <w:rsid w:val="002D003A"/>
    <w:rsid w:val="002E552B"/>
    <w:rsid w:val="00304CBC"/>
    <w:rsid w:val="003074F3"/>
    <w:rsid w:val="003119B7"/>
    <w:rsid w:val="00314FDD"/>
    <w:rsid w:val="00327EDE"/>
    <w:rsid w:val="00335640"/>
    <w:rsid w:val="00345349"/>
    <w:rsid w:val="00346B6F"/>
    <w:rsid w:val="00381496"/>
    <w:rsid w:val="00384CE5"/>
    <w:rsid w:val="00386D14"/>
    <w:rsid w:val="00386F4B"/>
    <w:rsid w:val="003B4F14"/>
    <w:rsid w:val="003D30A9"/>
    <w:rsid w:val="003D6F69"/>
    <w:rsid w:val="003E4E37"/>
    <w:rsid w:val="004019FD"/>
    <w:rsid w:val="0040541A"/>
    <w:rsid w:val="004058CF"/>
    <w:rsid w:val="004506D0"/>
    <w:rsid w:val="00456E88"/>
    <w:rsid w:val="004769FB"/>
    <w:rsid w:val="00477F8D"/>
    <w:rsid w:val="00487007"/>
    <w:rsid w:val="004B5895"/>
    <w:rsid w:val="004C06C6"/>
    <w:rsid w:val="005147B5"/>
    <w:rsid w:val="0053194F"/>
    <w:rsid w:val="005528D1"/>
    <w:rsid w:val="00572787"/>
    <w:rsid w:val="00596366"/>
    <w:rsid w:val="005A3444"/>
    <w:rsid w:val="005E74BE"/>
    <w:rsid w:val="00622FE2"/>
    <w:rsid w:val="00624C73"/>
    <w:rsid w:val="006266CF"/>
    <w:rsid w:val="00627B5F"/>
    <w:rsid w:val="006301BD"/>
    <w:rsid w:val="006303DB"/>
    <w:rsid w:val="006550A6"/>
    <w:rsid w:val="00667FAE"/>
    <w:rsid w:val="00691A17"/>
    <w:rsid w:val="006C1926"/>
    <w:rsid w:val="006C259C"/>
    <w:rsid w:val="006E5C3C"/>
    <w:rsid w:val="006F52AA"/>
    <w:rsid w:val="00704992"/>
    <w:rsid w:val="007300C6"/>
    <w:rsid w:val="00746170"/>
    <w:rsid w:val="00754C09"/>
    <w:rsid w:val="00756EE2"/>
    <w:rsid w:val="007840F2"/>
    <w:rsid w:val="007975C3"/>
    <w:rsid w:val="007C33BE"/>
    <w:rsid w:val="007D6CDC"/>
    <w:rsid w:val="007E0412"/>
    <w:rsid w:val="00803C2C"/>
    <w:rsid w:val="00807CF1"/>
    <w:rsid w:val="00831A13"/>
    <w:rsid w:val="008424DC"/>
    <w:rsid w:val="00856D05"/>
    <w:rsid w:val="00885748"/>
    <w:rsid w:val="008876B4"/>
    <w:rsid w:val="008918F1"/>
    <w:rsid w:val="008A2A3E"/>
    <w:rsid w:val="00926F87"/>
    <w:rsid w:val="009355F3"/>
    <w:rsid w:val="00941182"/>
    <w:rsid w:val="00964E7C"/>
    <w:rsid w:val="00966590"/>
    <w:rsid w:val="00980912"/>
    <w:rsid w:val="0099724F"/>
    <w:rsid w:val="009A6A51"/>
    <w:rsid w:val="009D673F"/>
    <w:rsid w:val="00A04769"/>
    <w:rsid w:val="00A04909"/>
    <w:rsid w:val="00A079EE"/>
    <w:rsid w:val="00A16350"/>
    <w:rsid w:val="00A53624"/>
    <w:rsid w:val="00A55D73"/>
    <w:rsid w:val="00A7046C"/>
    <w:rsid w:val="00A72538"/>
    <w:rsid w:val="00A80DBE"/>
    <w:rsid w:val="00A81496"/>
    <w:rsid w:val="00A835C7"/>
    <w:rsid w:val="00A91BF9"/>
    <w:rsid w:val="00A953FD"/>
    <w:rsid w:val="00AA62E3"/>
    <w:rsid w:val="00AC233C"/>
    <w:rsid w:val="00AD2F2C"/>
    <w:rsid w:val="00AF3DA5"/>
    <w:rsid w:val="00B16E83"/>
    <w:rsid w:val="00B27106"/>
    <w:rsid w:val="00B31730"/>
    <w:rsid w:val="00B32A29"/>
    <w:rsid w:val="00B362A7"/>
    <w:rsid w:val="00B40637"/>
    <w:rsid w:val="00B63E71"/>
    <w:rsid w:val="00B843A7"/>
    <w:rsid w:val="00B9075C"/>
    <w:rsid w:val="00B911B3"/>
    <w:rsid w:val="00B947F3"/>
    <w:rsid w:val="00B94F9D"/>
    <w:rsid w:val="00BB2296"/>
    <w:rsid w:val="00BD6226"/>
    <w:rsid w:val="00BF4E57"/>
    <w:rsid w:val="00BF6024"/>
    <w:rsid w:val="00BF7456"/>
    <w:rsid w:val="00C16190"/>
    <w:rsid w:val="00C21B40"/>
    <w:rsid w:val="00C238DF"/>
    <w:rsid w:val="00C241ED"/>
    <w:rsid w:val="00C547E9"/>
    <w:rsid w:val="00C6031B"/>
    <w:rsid w:val="00C67391"/>
    <w:rsid w:val="00C6754C"/>
    <w:rsid w:val="00C679D9"/>
    <w:rsid w:val="00CA13DF"/>
    <w:rsid w:val="00CA1C31"/>
    <w:rsid w:val="00CB57D0"/>
    <w:rsid w:val="00CD434C"/>
    <w:rsid w:val="00CE7757"/>
    <w:rsid w:val="00D01422"/>
    <w:rsid w:val="00D062E9"/>
    <w:rsid w:val="00D1789F"/>
    <w:rsid w:val="00D22270"/>
    <w:rsid w:val="00D3663A"/>
    <w:rsid w:val="00D44E37"/>
    <w:rsid w:val="00D55479"/>
    <w:rsid w:val="00D66D4C"/>
    <w:rsid w:val="00D96292"/>
    <w:rsid w:val="00D9631C"/>
    <w:rsid w:val="00DC11FD"/>
    <w:rsid w:val="00DC1F8C"/>
    <w:rsid w:val="00DE36C0"/>
    <w:rsid w:val="00DF4CEE"/>
    <w:rsid w:val="00E222A3"/>
    <w:rsid w:val="00E35BCD"/>
    <w:rsid w:val="00E45140"/>
    <w:rsid w:val="00E529E7"/>
    <w:rsid w:val="00E8134B"/>
    <w:rsid w:val="00E90341"/>
    <w:rsid w:val="00E90C3B"/>
    <w:rsid w:val="00EC52B3"/>
    <w:rsid w:val="00EC7EB1"/>
    <w:rsid w:val="00EF3C9D"/>
    <w:rsid w:val="00EF749D"/>
    <w:rsid w:val="00F02662"/>
    <w:rsid w:val="00F140BD"/>
    <w:rsid w:val="00F320A2"/>
    <w:rsid w:val="00F429CA"/>
    <w:rsid w:val="00F46484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AF4033"/>
    <w:rsid w:val="02C533FD"/>
    <w:rsid w:val="02EA2F2E"/>
    <w:rsid w:val="035905F1"/>
    <w:rsid w:val="049938A3"/>
    <w:rsid w:val="05FE2ECD"/>
    <w:rsid w:val="06E45E84"/>
    <w:rsid w:val="06F72637"/>
    <w:rsid w:val="07551EF6"/>
    <w:rsid w:val="078308C5"/>
    <w:rsid w:val="0B3A631B"/>
    <w:rsid w:val="0B801A14"/>
    <w:rsid w:val="0BED22BA"/>
    <w:rsid w:val="0C5F0757"/>
    <w:rsid w:val="0EB046E8"/>
    <w:rsid w:val="0F222141"/>
    <w:rsid w:val="112E6DBB"/>
    <w:rsid w:val="13F66A95"/>
    <w:rsid w:val="15EC2A11"/>
    <w:rsid w:val="165D4315"/>
    <w:rsid w:val="1836702B"/>
    <w:rsid w:val="18B509BA"/>
    <w:rsid w:val="191D1114"/>
    <w:rsid w:val="19BD2066"/>
    <w:rsid w:val="1A625E0E"/>
    <w:rsid w:val="1B267EFA"/>
    <w:rsid w:val="1BA70ECF"/>
    <w:rsid w:val="1CAF29BD"/>
    <w:rsid w:val="1DD21CF4"/>
    <w:rsid w:val="1DD97D54"/>
    <w:rsid w:val="1E4D5A30"/>
    <w:rsid w:val="1F4B6D51"/>
    <w:rsid w:val="1F6C36DB"/>
    <w:rsid w:val="1FA53026"/>
    <w:rsid w:val="1FBE56EA"/>
    <w:rsid w:val="20382E4B"/>
    <w:rsid w:val="206B03AA"/>
    <w:rsid w:val="207A11A8"/>
    <w:rsid w:val="213F0C9F"/>
    <w:rsid w:val="224F0511"/>
    <w:rsid w:val="239C27A1"/>
    <w:rsid w:val="23FB36F7"/>
    <w:rsid w:val="241242FB"/>
    <w:rsid w:val="26253597"/>
    <w:rsid w:val="264C1691"/>
    <w:rsid w:val="27937DF9"/>
    <w:rsid w:val="28351E41"/>
    <w:rsid w:val="28390A92"/>
    <w:rsid w:val="285C470D"/>
    <w:rsid w:val="28AA2C9B"/>
    <w:rsid w:val="292A3D3B"/>
    <w:rsid w:val="292B64B0"/>
    <w:rsid w:val="2A1D492F"/>
    <w:rsid w:val="2BA87FB8"/>
    <w:rsid w:val="2BD431B0"/>
    <w:rsid w:val="2EB668FD"/>
    <w:rsid w:val="2EE333BF"/>
    <w:rsid w:val="2F9C0A34"/>
    <w:rsid w:val="307B3CC9"/>
    <w:rsid w:val="308C2950"/>
    <w:rsid w:val="317E0B15"/>
    <w:rsid w:val="318A6A1F"/>
    <w:rsid w:val="31DA2AAB"/>
    <w:rsid w:val="32783C7E"/>
    <w:rsid w:val="328B6E68"/>
    <w:rsid w:val="33086FBB"/>
    <w:rsid w:val="33303468"/>
    <w:rsid w:val="33467A77"/>
    <w:rsid w:val="349A58C1"/>
    <w:rsid w:val="36A578AF"/>
    <w:rsid w:val="37F749A6"/>
    <w:rsid w:val="389B5551"/>
    <w:rsid w:val="38D34B33"/>
    <w:rsid w:val="39182E6E"/>
    <w:rsid w:val="3BFF63AC"/>
    <w:rsid w:val="3D2E641A"/>
    <w:rsid w:val="3D69419C"/>
    <w:rsid w:val="3D7E02D3"/>
    <w:rsid w:val="3E2F154C"/>
    <w:rsid w:val="3E5F3883"/>
    <w:rsid w:val="3F3941DE"/>
    <w:rsid w:val="3F4E53AE"/>
    <w:rsid w:val="3F5968CF"/>
    <w:rsid w:val="3F887EDD"/>
    <w:rsid w:val="3FD35BAC"/>
    <w:rsid w:val="3FEE3BDD"/>
    <w:rsid w:val="40C86AB8"/>
    <w:rsid w:val="41355562"/>
    <w:rsid w:val="41B76497"/>
    <w:rsid w:val="41D14624"/>
    <w:rsid w:val="41F47039"/>
    <w:rsid w:val="436B3001"/>
    <w:rsid w:val="43AB2BCE"/>
    <w:rsid w:val="43C33A99"/>
    <w:rsid w:val="43E57E11"/>
    <w:rsid w:val="44EE730F"/>
    <w:rsid w:val="44F553AE"/>
    <w:rsid w:val="460B2F12"/>
    <w:rsid w:val="466A6DD8"/>
    <w:rsid w:val="48BC36EC"/>
    <w:rsid w:val="496024BC"/>
    <w:rsid w:val="4A591B21"/>
    <w:rsid w:val="4A863223"/>
    <w:rsid w:val="4B7A4FEA"/>
    <w:rsid w:val="4BDC6001"/>
    <w:rsid w:val="4C752769"/>
    <w:rsid w:val="4CAC73E8"/>
    <w:rsid w:val="4DB333A2"/>
    <w:rsid w:val="4FA95BD4"/>
    <w:rsid w:val="51AF3B5A"/>
    <w:rsid w:val="52A324D9"/>
    <w:rsid w:val="533A57E1"/>
    <w:rsid w:val="53AE53FA"/>
    <w:rsid w:val="53D0749E"/>
    <w:rsid w:val="54374E6E"/>
    <w:rsid w:val="55282804"/>
    <w:rsid w:val="56603ABE"/>
    <w:rsid w:val="56C84B66"/>
    <w:rsid w:val="588C0B2A"/>
    <w:rsid w:val="592A035D"/>
    <w:rsid w:val="597923EC"/>
    <w:rsid w:val="5B3F6A91"/>
    <w:rsid w:val="5D3B3F6F"/>
    <w:rsid w:val="5D4B3015"/>
    <w:rsid w:val="5EB439BF"/>
    <w:rsid w:val="5F221C14"/>
    <w:rsid w:val="5F8665D5"/>
    <w:rsid w:val="5FB02E04"/>
    <w:rsid w:val="601E22E9"/>
    <w:rsid w:val="60D74E3B"/>
    <w:rsid w:val="61771238"/>
    <w:rsid w:val="618F62DA"/>
    <w:rsid w:val="629A12A4"/>
    <w:rsid w:val="62B11B43"/>
    <w:rsid w:val="62D857FF"/>
    <w:rsid w:val="63116D3F"/>
    <w:rsid w:val="63584503"/>
    <w:rsid w:val="65772E96"/>
    <w:rsid w:val="65777EFA"/>
    <w:rsid w:val="66163CBF"/>
    <w:rsid w:val="66451362"/>
    <w:rsid w:val="66CC1E47"/>
    <w:rsid w:val="69B2113E"/>
    <w:rsid w:val="6CEE52C3"/>
    <w:rsid w:val="6D1A4B41"/>
    <w:rsid w:val="6EFD66F3"/>
    <w:rsid w:val="6F4C5F9E"/>
    <w:rsid w:val="6F6854B8"/>
    <w:rsid w:val="6FDA2F49"/>
    <w:rsid w:val="707B2266"/>
    <w:rsid w:val="70F238D7"/>
    <w:rsid w:val="71154CFD"/>
    <w:rsid w:val="72AE0DFE"/>
    <w:rsid w:val="730D1A2E"/>
    <w:rsid w:val="73CF5BF4"/>
    <w:rsid w:val="73D02C0D"/>
    <w:rsid w:val="74906CD2"/>
    <w:rsid w:val="74DF56D0"/>
    <w:rsid w:val="753A0453"/>
    <w:rsid w:val="75D16F4A"/>
    <w:rsid w:val="779B5911"/>
    <w:rsid w:val="78057967"/>
    <w:rsid w:val="798C1529"/>
    <w:rsid w:val="79E13A20"/>
    <w:rsid w:val="7A294D30"/>
    <w:rsid w:val="7B0E608B"/>
    <w:rsid w:val="7B331B8F"/>
    <w:rsid w:val="7BB328E9"/>
    <w:rsid w:val="7BF93641"/>
    <w:rsid w:val="7D9D6BA6"/>
    <w:rsid w:val="7E080B6A"/>
    <w:rsid w:val="7ECF36A3"/>
    <w:rsid w:val="7FC143B2"/>
    <w:rsid w:val="7FE5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40" w:lineRule="exact"/>
      <w:ind w:firstLine="200" w:firstLineChars="20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8">
    <w:name w:val="页脚 Char"/>
    <w:link w:val="3"/>
    <w:qFormat/>
    <w:uiPriority w:val="99"/>
    <w:rPr>
      <w:sz w:val="18"/>
      <w:szCs w:val="18"/>
    </w:rPr>
  </w:style>
  <w:style w:type="character" w:customStyle="1" w:styleId="9">
    <w:name w:val="页眉 Char"/>
    <w:link w:val="4"/>
    <w:qFormat/>
    <w:uiPriority w:val="99"/>
    <w:rPr>
      <w:sz w:val="18"/>
      <w:szCs w:val="18"/>
    </w:rPr>
  </w:style>
  <w:style w:type="character" w:customStyle="1" w:styleId="10">
    <w:name w:val="页眉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/>
    </w:pPr>
  </w:style>
  <w:style w:type="paragraph" w:customStyle="1" w:styleId="14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仿宋" w:hAnsi="仿宋" w:eastAsia="仿宋" w:cstheme="minorBidi"/>
      <w:color w:val="00000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407</Words>
  <Characters>2320</Characters>
  <Lines>19</Lines>
  <Paragraphs>5</Paragraphs>
  <TotalTime>112</TotalTime>
  <ScaleCrop>false</ScaleCrop>
  <LinksUpToDate>false</LinksUpToDate>
  <CharactersWithSpaces>2722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2018-12-21T00:46:00Z</dcterms:created>
  <dc:creator>Microsoft Office 用户</dc:creator>
  <cp:lastModifiedBy>hycream</cp:lastModifiedBy>
  <cp:lastPrinted>2019-01-11T07:15:00Z</cp:lastPrinted>
  <dcterms:modified xsi:type="dcterms:W3CDTF">2019-01-11T10:01:24Z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