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B4E4E">
      <w:pPr>
        <w:widowControl w:val="0"/>
        <w:spacing w:beforeLines="50" w:before="120" w:afterLines="50" w:after="120" w:line="240" w:lineRule="auto"/>
        <w:ind w:firstLineChars="0" w:firstLine="0"/>
        <w:rPr>
          <w:rFonts w:ascii="宋体" w:hAnsi="宋体"/>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0B4E4E">
      <w:pPr>
        <w:widowControl w:val="0"/>
        <w:spacing w:beforeLines="50" w:before="120" w:afterLines="50" w:after="120" w:line="240" w:lineRule="auto"/>
        <w:ind w:firstLineChars="0" w:firstLine="0"/>
        <w:jc w:val="center"/>
        <w:rPr>
          <w:rFonts w:ascii="宋体" w:hAnsi="宋体"/>
          <w:b/>
          <w:bCs/>
          <w:iCs/>
          <w:color w:val="000000"/>
          <w:sz w:val="32"/>
          <w:szCs w:val="32"/>
        </w:rPr>
      </w:pPr>
      <w:r>
        <w:rPr>
          <w:rFonts w:ascii="宋体" w:hAnsi="宋体" w:hint="eastAsia"/>
          <w:b/>
          <w:bCs/>
          <w:iCs/>
          <w:color w:val="000000"/>
          <w:sz w:val="32"/>
          <w:szCs w:val="32"/>
        </w:rPr>
        <w:t>温氏食品集团股份有限公司投资者关系活动记录表</w:t>
      </w:r>
    </w:p>
    <w:p w:rsidR="00000000" w:rsidRDefault="000B4E4E">
      <w:pPr>
        <w:widowControl w:val="0"/>
        <w:spacing w:line="240" w:lineRule="auto"/>
        <w:ind w:firstLineChars="0" w:firstLine="0"/>
        <w:rPr>
          <w:rFonts w:ascii="宋体" w:hAnsi="宋体"/>
          <w:bCs/>
          <w:iCs/>
          <w:color w:val="000000"/>
          <w:sz w:val="18"/>
          <w:szCs w:val="18"/>
        </w:rPr>
      </w:pPr>
      <w:r>
        <w:rPr>
          <w:rFonts w:ascii="宋体" w:hAnsi="宋体" w:hint="eastAsia"/>
          <w:bCs/>
          <w:iCs/>
          <w:color w:val="000000"/>
          <w:sz w:val="18"/>
          <w:szCs w:val="18"/>
        </w:rPr>
        <w:t xml:space="preserve">                                                                                           </w:t>
      </w:r>
      <w:r>
        <w:rPr>
          <w:rFonts w:ascii="宋体" w:hAnsi="宋体" w:hint="eastAsia"/>
          <w:bCs/>
          <w:iCs/>
          <w:color w:val="000000"/>
          <w:sz w:val="18"/>
          <w:szCs w:val="18"/>
        </w:rPr>
        <w:t>编号：</w:t>
      </w:r>
      <w:r>
        <w:rPr>
          <w:rFonts w:ascii="宋体" w:hAnsi="宋体" w:hint="eastAsia"/>
          <w:bCs/>
          <w:iCs/>
          <w:color w:val="000000"/>
          <w:sz w:val="18"/>
          <w:szCs w:val="18"/>
        </w:rPr>
        <w:t>201903</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8"/>
        <w:gridCol w:w="7699"/>
      </w:tblGrid>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szCs w:val="21"/>
                <w:shd w:val="clear" w:color="auto" w:fill="FFFFFF"/>
              </w:rPr>
            </w:pPr>
            <w:r>
              <w:rPr>
                <w:rFonts w:ascii="宋体" w:hAnsi="宋体" w:cs="宋体" w:hint="eastAsia"/>
                <w:bCs/>
                <w:color w:val="000000"/>
                <w:kern w:val="0"/>
                <w:szCs w:val="21"/>
                <w:shd w:val="clear" w:color="auto" w:fill="FFFFFF"/>
              </w:rPr>
              <w:t>投资者关系活动类别</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52"/>
            </w:r>
            <w:r>
              <w:rPr>
                <w:rFonts w:ascii="宋体" w:hAnsi="宋体" w:cs="宋体" w:hint="eastAsia"/>
                <w:bCs/>
                <w:color w:val="000000"/>
                <w:kern w:val="0"/>
                <w:szCs w:val="21"/>
                <w:shd w:val="clear" w:color="auto" w:fill="FFFFFF"/>
              </w:rPr>
              <w:t>特定对象调研</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分析师会议</w:t>
            </w:r>
          </w:p>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媒体采访</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业绩说明会</w:t>
            </w:r>
          </w:p>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新闻发布会</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路演活动</w:t>
            </w:r>
          </w:p>
          <w:p w:rsidR="00000000" w:rsidRDefault="000B4E4E">
            <w:pPr>
              <w:shd w:val="clear" w:color="auto" w:fill="FFFFFF"/>
              <w:tabs>
                <w:tab w:val="left" w:pos="3045"/>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现场参观</w:t>
            </w:r>
            <w:r>
              <w:rPr>
                <w:rFonts w:ascii="宋体" w:hAnsi="宋体" w:cs="宋体" w:hint="eastAsia"/>
                <w:bCs/>
                <w:color w:val="000000"/>
                <w:kern w:val="0"/>
                <w:szCs w:val="21"/>
                <w:shd w:val="clear" w:color="auto" w:fill="FFFFFF"/>
              </w:rPr>
              <w:tab/>
            </w:r>
          </w:p>
          <w:p w:rsidR="00000000" w:rsidRDefault="000B4E4E">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其他</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（请文字说明其他活动内容</w:t>
            </w:r>
            <w:r>
              <w:rPr>
                <w:rFonts w:ascii="宋体" w:hAnsi="宋体" w:cs="宋体"/>
                <w:bCs/>
                <w:color w:val="000000"/>
                <w:kern w:val="0"/>
                <w:szCs w:val="21"/>
                <w:shd w:val="clear" w:color="auto" w:fill="FFFFFF"/>
              </w:rPr>
              <w:t>）</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u w:val="single"/>
                <w:shd w:val="clear" w:color="auto" w:fill="FFFFFF"/>
              </w:rPr>
              <w:t xml:space="preserve"> </w:t>
            </w:r>
            <w:r>
              <w:rPr>
                <w:rFonts w:ascii="宋体" w:hAnsi="宋体" w:cs="宋体" w:hint="eastAsia"/>
                <w:szCs w:val="21"/>
                <w:u w:val="single"/>
              </w:rPr>
              <w:t xml:space="preserve">           </w:t>
            </w:r>
          </w:p>
        </w:tc>
      </w:tr>
      <w:tr w:rsidR="00000000">
        <w:trPr>
          <w:trHeight w:val="1003"/>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FF"/>
                <w:kern w:val="0"/>
                <w:szCs w:val="21"/>
                <w:shd w:val="clear" w:color="auto" w:fill="FFFFFF"/>
              </w:rPr>
            </w:pPr>
            <w:r>
              <w:rPr>
                <w:rFonts w:ascii="宋体" w:hAnsi="宋体" w:cs="宋体" w:hint="eastAsia"/>
                <w:bCs/>
                <w:color w:val="000000"/>
                <w:kern w:val="0"/>
                <w:szCs w:val="21"/>
                <w:shd w:val="clear" w:color="auto" w:fill="FFFFFF"/>
              </w:rPr>
              <w:t>参与单位名称及人员姓名</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tabs>
                <w:tab w:val="center" w:pos="3199"/>
              </w:tabs>
              <w:spacing w:line="56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富邦人寿</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杨瑞泰；凯思博</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苏璇；博裕资本</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邢天猷；融通基金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陈顺；国信证券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梁佳、黄玮玮；威灵顿</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林忠信；太平洋证券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周莎；成都翰聚资管</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王依；光大证券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杨福川；安信证券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韩成等</w:t>
            </w:r>
            <w:r>
              <w:rPr>
                <w:rFonts w:ascii="宋体" w:hAnsi="宋体" w:cs="宋体" w:hint="eastAsia"/>
                <w:bCs/>
                <w:color w:val="000000"/>
                <w:kern w:val="0"/>
                <w:szCs w:val="21"/>
                <w:shd w:val="clear" w:color="auto" w:fill="FFFFFF"/>
              </w:rPr>
              <w:t>11</w:t>
            </w:r>
            <w:r>
              <w:rPr>
                <w:rFonts w:ascii="宋体" w:hAnsi="宋体" w:cs="宋体" w:hint="eastAsia"/>
                <w:bCs/>
                <w:color w:val="000000"/>
                <w:kern w:val="0"/>
                <w:szCs w:val="21"/>
                <w:shd w:val="clear" w:color="auto" w:fill="FFFFFF"/>
              </w:rPr>
              <w:t>家券商、机构投资者。</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时间</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2019</w:t>
            </w:r>
            <w:r>
              <w:rPr>
                <w:rFonts w:ascii="宋体" w:hAnsi="宋体" w:cs="宋体" w:hint="eastAsia"/>
                <w:bCs/>
                <w:color w:val="000000"/>
                <w:kern w:val="0"/>
                <w:szCs w:val="21"/>
                <w:shd w:val="clear" w:color="auto" w:fill="FFFFFF"/>
              </w:rPr>
              <w:t>年</w:t>
            </w:r>
            <w:r>
              <w:rPr>
                <w:rFonts w:ascii="宋体" w:hAnsi="宋体" w:cs="宋体" w:hint="eastAsia"/>
                <w:bCs/>
                <w:color w:val="000000"/>
                <w:kern w:val="0"/>
                <w:szCs w:val="21"/>
                <w:shd w:val="clear" w:color="auto" w:fill="FFFFFF"/>
              </w:rPr>
              <w:t>1</w:t>
            </w:r>
            <w:r>
              <w:rPr>
                <w:rFonts w:ascii="宋体" w:hAnsi="宋体" w:cs="宋体" w:hint="eastAsia"/>
                <w:bCs/>
                <w:color w:val="000000"/>
                <w:kern w:val="0"/>
                <w:szCs w:val="21"/>
                <w:shd w:val="clear" w:color="auto" w:fill="FFFFFF"/>
              </w:rPr>
              <w:t>月</w:t>
            </w:r>
            <w:r>
              <w:rPr>
                <w:rFonts w:ascii="宋体" w:hAnsi="宋体" w:cs="宋体" w:hint="eastAsia"/>
                <w:bCs/>
                <w:color w:val="000000"/>
                <w:kern w:val="0"/>
                <w:szCs w:val="21"/>
                <w:shd w:val="clear" w:color="auto" w:fill="FFFFFF"/>
              </w:rPr>
              <w:t>15</w:t>
            </w:r>
            <w:r>
              <w:rPr>
                <w:rFonts w:ascii="宋体" w:hAnsi="宋体" w:cs="宋体" w:hint="eastAsia"/>
                <w:bCs/>
                <w:color w:val="000000"/>
                <w:kern w:val="0"/>
                <w:szCs w:val="21"/>
                <w:shd w:val="clear" w:color="auto" w:fill="FFFFFF"/>
              </w:rPr>
              <w:t>日</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地点</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tabs>
                <w:tab w:val="center" w:pos="3199"/>
              </w:tabs>
              <w:spacing w:line="420" w:lineRule="exact"/>
              <w:ind w:firstLineChars="0" w:firstLine="0"/>
              <w:rPr>
                <w:rFonts w:ascii="宋体" w:hAnsi="宋体" w:cs="宋体"/>
                <w:szCs w:val="21"/>
              </w:rPr>
            </w:pPr>
            <w:r>
              <w:rPr>
                <w:rFonts w:ascii="宋体" w:hAnsi="宋体" w:cs="宋体" w:hint="eastAsia"/>
                <w:bCs/>
                <w:color w:val="000000"/>
                <w:kern w:val="0"/>
                <w:szCs w:val="21"/>
                <w:shd w:val="clear" w:color="auto" w:fill="FFFFFF"/>
              </w:rPr>
              <w:t>温氏股份总部</w:t>
            </w:r>
            <w:r>
              <w:rPr>
                <w:rFonts w:ascii="宋体" w:hAnsi="宋体" w:cs="宋体" w:hint="eastAsia"/>
                <w:bCs/>
                <w:color w:val="000000"/>
                <w:kern w:val="0"/>
                <w:szCs w:val="21"/>
                <w:shd w:val="clear" w:color="auto" w:fill="FFFFFF"/>
              </w:rPr>
              <w:t>19</w:t>
            </w:r>
            <w:r>
              <w:rPr>
                <w:rFonts w:ascii="宋体" w:hAnsi="宋体" w:cs="宋体" w:hint="eastAsia"/>
                <w:bCs/>
                <w:color w:val="000000"/>
                <w:kern w:val="0"/>
                <w:szCs w:val="21"/>
                <w:shd w:val="clear" w:color="auto" w:fill="FFFFFF"/>
              </w:rPr>
              <w:t>楼会议室</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上市公司接待人员姓名</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黄聪</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梁伟全</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0B4E4E">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投资者关系活动主要内容介绍</w:t>
            </w:r>
          </w:p>
          <w:p w:rsidR="00000000" w:rsidRDefault="000B4E4E">
            <w:pPr>
              <w:widowControl w:val="0"/>
              <w:spacing w:line="240" w:lineRule="auto"/>
              <w:ind w:firstLineChars="0" w:firstLine="0"/>
              <w:rPr>
                <w:rFonts w:ascii="宋体" w:hAnsi="宋体" w:cs="宋体"/>
                <w:bCs/>
                <w:iCs/>
                <w:color w:val="000000"/>
                <w:szCs w:val="21"/>
              </w:rPr>
            </w:pP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spacing w:line="560" w:lineRule="exact"/>
              <w:ind w:firstLineChars="0" w:firstLine="0"/>
              <w:rPr>
                <w:rFonts w:ascii="宋体" w:hAnsi="宋体" w:cs="宋体"/>
                <w:b/>
                <w:bCs/>
                <w:color w:val="000000"/>
                <w:szCs w:val="21"/>
              </w:rPr>
            </w:pPr>
            <w:r>
              <w:rPr>
                <w:rFonts w:ascii="宋体" w:hAnsi="宋体" w:cs="宋体" w:hint="eastAsia"/>
                <w:b/>
                <w:bCs/>
                <w:color w:val="000000"/>
                <w:szCs w:val="21"/>
              </w:rPr>
              <w:t>Q&amp;A</w:t>
            </w:r>
            <w:r>
              <w:rPr>
                <w:rFonts w:ascii="宋体" w:hAnsi="宋体" w:cs="宋体" w:hint="eastAsia"/>
                <w:b/>
                <w:bCs/>
                <w:color w:val="000000"/>
                <w:szCs w:val="21"/>
              </w:rPr>
              <w:t>环节</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1</w:t>
            </w:r>
            <w:r>
              <w:rPr>
                <w:rFonts w:ascii="宋体" w:hAnsi="宋体" w:cs="宋体" w:hint="eastAsia"/>
                <w:b/>
                <w:bCs/>
                <w:color w:val="000000"/>
                <w:szCs w:val="21"/>
              </w:rPr>
              <w:t>、</w:t>
            </w:r>
            <w:r>
              <w:rPr>
                <w:rFonts w:ascii="宋体" w:hAnsi="宋体" w:cs="宋体" w:hint="eastAsia"/>
                <w:b/>
                <w:bCs/>
                <w:color w:val="000000"/>
                <w:szCs w:val="21"/>
              </w:rPr>
              <w:t>公司怎样看待非洲猪瘟疫情？有哪些防疫措施？规模养殖场和散养的养殖场在防疫方面哪个更具有优势呢？</w:t>
            </w:r>
          </w:p>
          <w:p w:rsidR="00000000" w:rsidRDefault="000B4E4E">
            <w:pPr>
              <w:ind w:firstLineChars="0" w:firstLine="0"/>
              <w:rPr>
                <w:rFonts w:ascii="宋体" w:hAnsi="宋体" w:cs="宋体"/>
                <w:bCs/>
                <w:color w:val="000000"/>
                <w:szCs w:val="21"/>
              </w:rPr>
            </w:pPr>
            <w:r>
              <w:rPr>
                <w:rFonts w:ascii="宋体" w:hAnsi="宋体" w:cs="宋体" w:hint="eastAsia"/>
                <w:bCs/>
                <w:color w:val="000000"/>
                <w:szCs w:val="21"/>
              </w:rPr>
              <w:t>答：</w:t>
            </w:r>
            <w:r>
              <w:rPr>
                <w:rFonts w:ascii="宋体" w:hAnsi="宋体" w:cs="宋体" w:hint="eastAsia"/>
                <w:bCs/>
                <w:color w:val="000000"/>
                <w:szCs w:val="21"/>
              </w:rPr>
              <w:t>1</w:t>
            </w:r>
            <w:r>
              <w:rPr>
                <w:rFonts w:ascii="宋体" w:hAnsi="宋体" w:cs="宋体" w:hint="eastAsia"/>
                <w:bCs/>
                <w:color w:val="000000"/>
                <w:szCs w:val="21"/>
              </w:rPr>
              <w:t>）非洲猪瘟是在我国从未发生过的疫病，目前尚未有有效的疫苗和药物防</w:t>
            </w:r>
            <w:r>
              <w:rPr>
                <w:rFonts w:ascii="宋体" w:hAnsi="宋体" w:cs="宋体" w:hint="eastAsia"/>
                <w:bCs/>
                <w:color w:val="000000"/>
                <w:szCs w:val="21"/>
              </w:rPr>
              <w:t>治</w:t>
            </w:r>
            <w:r>
              <w:rPr>
                <w:rFonts w:ascii="宋体" w:hAnsi="宋体" w:cs="宋体" w:hint="eastAsia"/>
                <w:bCs/>
                <w:color w:val="000000"/>
                <w:szCs w:val="21"/>
              </w:rPr>
              <w:t>。国内的肉猪养殖密度比欧美国家养殖密度大，感染几率更高，预计短时间内较难根除。</w:t>
            </w:r>
          </w:p>
          <w:p w:rsidR="00000000" w:rsidRDefault="000B4E4E">
            <w:pPr>
              <w:ind w:firstLineChars="0" w:firstLine="0"/>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）自国内第一例非洲猪瘟</w:t>
            </w:r>
            <w:r>
              <w:rPr>
                <w:rFonts w:ascii="宋体" w:hAnsi="宋体" w:cs="宋体" w:hint="eastAsia"/>
                <w:bCs/>
                <w:color w:val="000000"/>
                <w:szCs w:val="21"/>
              </w:rPr>
              <w:t>疫情发生</w:t>
            </w:r>
            <w:r>
              <w:rPr>
                <w:rFonts w:ascii="宋体" w:hAnsi="宋体" w:cs="宋体" w:hint="eastAsia"/>
                <w:bCs/>
                <w:color w:val="000000"/>
                <w:szCs w:val="21"/>
              </w:rPr>
              <w:t>后，公司高度重视，迅速启动应急预案，成立了应急领导小组，建立了疫情日报机制，升级了生物安全体系，严防死守。</w:t>
            </w:r>
          </w:p>
          <w:p w:rsidR="00000000" w:rsidRDefault="000B4E4E">
            <w:pPr>
              <w:ind w:firstLineChars="0" w:firstLine="0"/>
              <w:rPr>
                <w:rFonts w:ascii="宋体" w:hAnsi="宋体" w:cs="宋体"/>
                <w:color w:val="000000"/>
                <w:szCs w:val="21"/>
              </w:rPr>
            </w:pPr>
            <w:r>
              <w:rPr>
                <w:rFonts w:ascii="宋体" w:hAnsi="宋体" w:cs="宋体" w:hint="eastAsia"/>
                <w:bCs/>
                <w:color w:val="000000"/>
                <w:szCs w:val="21"/>
              </w:rPr>
              <w:t>防疫猪瘟生产方面具体措施主要包括：全面封场，</w:t>
            </w:r>
            <w:r>
              <w:rPr>
                <w:rFonts w:ascii="宋体" w:hAnsi="宋体" w:cs="宋体" w:hint="eastAsia"/>
                <w:color w:val="000000"/>
                <w:szCs w:val="21"/>
              </w:rPr>
              <w:t>严格管控猪场进出人员和物资；</w:t>
            </w:r>
            <w:r>
              <w:rPr>
                <w:rFonts w:ascii="宋体" w:hAnsi="宋体" w:cs="宋体" w:hint="eastAsia"/>
                <w:bCs/>
                <w:color w:val="000000"/>
                <w:szCs w:val="21"/>
              </w:rPr>
              <w:t>加强对人员、物料</w:t>
            </w:r>
            <w:r>
              <w:rPr>
                <w:rFonts w:ascii="宋体" w:hAnsi="宋体" w:cs="宋体" w:hint="eastAsia"/>
                <w:color w:val="000000"/>
                <w:szCs w:val="21"/>
              </w:rPr>
              <w:t>、运输车辆等影响猪场</w:t>
            </w:r>
            <w:r>
              <w:rPr>
                <w:rFonts w:ascii="宋体" w:hAnsi="宋体" w:cs="宋体" w:hint="eastAsia"/>
                <w:color w:val="000000"/>
                <w:szCs w:val="21"/>
              </w:rPr>
              <w:t>生物安全的要素进行清洗、消毒和隔离，增多消毒环节，落实专车专用等；销售方面的措施主要是加强销售计划的实施，做</w:t>
            </w:r>
            <w:r>
              <w:rPr>
                <w:rFonts w:ascii="宋体" w:hAnsi="宋体" w:cs="宋体" w:hint="eastAsia"/>
                <w:color w:val="000000"/>
                <w:szCs w:val="21"/>
              </w:rPr>
              <w:lastRenderedPageBreak/>
              <w:t>好大区点对点对接，保证销售顺畅。</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3</w:t>
            </w:r>
            <w:r>
              <w:rPr>
                <w:rFonts w:ascii="宋体" w:hAnsi="宋体" w:cs="宋体" w:hint="eastAsia"/>
                <w:color w:val="000000"/>
                <w:szCs w:val="21"/>
              </w:rPr>
              <w:t>）在非洲猪瘟疫情面前，不管是具有一定规模的养殖场，还是散户或者小型的养殖场，都存在被感染的风险。只有自身提高风险防控意识，落实防疫措施及制度，才能降低风险，减少损失。</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2</w:t>
            </w:r>
            <w:r>
              <w:rPr>
                <w:rFonts w:ascii="宋体" w:hAnsi="宋体" w:cs="宋体" w:hint="eastAsia"/>
                <w:b/>
                <w:bCs/>
                <w:color w:val="000000"/>
                <w:szCs w:val="21"/>
              </w:rPr>
              <w:t>、肉猪价格较高的地区，有无扩大产能的现象？</w:t>
            </w:r>
          </w:p>
          <w:p w:rsidR="00000000" w:rsidRDefault="000B4E4E">
            <w:pPr>
              <w:ind w:firstLineChars="0" w:firstLine="0"/>
              <w:rPr>
                <w:rFonts w:ascii="宋体" w:hAnsi="宋体" w:cs="宋体"/>
                <w:bCs/>
                <w:color w:val="000000"/>
                <w:szCs w:val="21"/>
              </w:rPr>
            </w:pPr>
            <w:r>
              <w:rPr>
                <w:rFonts w:ascii="宋体" w:hAnsi="宋体" w:cs="宋体" w:hint="eastAsia"/>
                <w:bCs/>
                <w:color w:val="000000"/>
                <w:szCs w:val="21"/>
              </w:rPr>
              <w:t>答：由于环保因素、土地短缺等因素，短期内补栏、扩大产能比较困难。</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3</w:t>
            </w:r>
            <w:r>
              <w:rPr>
                <w:rFonts w:ascii="宋体" w:hAnsi="宋体" w:cs="宋体" w:hint="eastAsia"/>
                <w:b/>
                <w:bCs/>
                <w:color w:val="000000"/>
                <w:szCs w:val="21"/>
              </w:rPr>
              <w:t>、行业去产能受非洲猪瘟疫情的影响有多大？</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答：非洲猪瘟病毒潜伏期长，且目前未有有效的疫</w:t>
            </w:r>
            <w:r>
              <w:rPr>
                <w:rFonts w:ascii="宋体" w:hAnsi="宋体" w:cs="宋体" w:hint="eastAsia"/>
                <w:color w:val="000000"/>
                <w:szCs w:val="21"/>
              </w:rPr>
              <w:t>苗和药物，预计对行业去产能有</w:t>
            </w:r>
            <w:r>
              <w:rPr>
                <w:rFonts w:ascii="宋体" w:hAnsi="宋体" w:cs="宋体" w:hint="eastAsia"/>
                <w:color w:val="000000"/>
                <w:szCs w:val="21"/>
              </w:rPr>
              <w:t>一定</w:t>
            </w:r>
            <w:r>
              <w:rPr>
                <w:rFonts w:ascii="宋体" w:hAnsi="宋体" w:cs="宋体" w:hint="eastAsia"/>
                <w:color w:val="000000"/>
                <w:szCs w:val="21"/>
              </w:rPr>
              <w:t>影响。</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4</w:t>
            </w:r>
            <w:r>
              <w:rPr>
                <w:rFonts w:ascii="宋体" w:hAnsi="宋体" w:cs="宋体" w:hint="eastAsia"/>
                <w:b/>
                <w:bCs/>
                <w:color w:val="000000"/>
                <w:szCs w:val="21"/>
              </w:rPr>
              <w:t>、全国规模化养猪的进程会受非洲猪瘟疫情的影响吗？</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答：由于规模养殖更加利于管理和经营，预计规模化养殖进程的趋势会继续保持。</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5</w:t>
            </w:r>
            <w:r>
              <w:rPr>
                <w:rFonts w:ascii="宋体" w:hAnsi="宋体" w:cs="宋体" w:hint="eastAsia"/>
                <w:b/>
                <w:bCs/>
                <w:color w:val="000000"/>
                <w:szCs w:val="21"/>
              </w:rPr>
              <w:t>、对猪价的看法？</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答：就目前所了解的情况看，目前还不好对未来猪价的演变做具体判断，总体预计今年下半年行情要比上半年好。</w:t>
            </w:r>
            <w:r>
              <w:rPr>
                <w:rFonts w:ascii="宋体" w:hAnsi="宋体" w:cs="宋体" w:hint="eastAsia"/>
                <w:color w:val="000000"/>
                <w:szCs w:val="21"/>
              </w:rPr>
              <w:t>2018</w:t>
            </w:r>
            <w:r>
              <w:rPr>
                <w:rFonts w:ascii="宋体" w:hAnsi="宋体" w:cs="宋体" w:hint="eastAsia"/>
                <w:color w:val="000000"/>
                <w:szCs w:val="21"/>
              </w:rPr>
              <w:t>年下半年以来的去产能影响要今年下半年才能逐渐体现出来。公司按照既定计划生产，做好成本控制，在行情好的时候多盈利，行情不好的时候少亏损。</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6</w:t>
            </w:r>
            <w:r>
              <w:rPr>
                <w:rFonts w:ascii="宋体" w:hAnsi="宋体" w:cs="宋体" w:hint="eastAsia"/>
                <w:b/>
                <w:bCs/>
                <w:color w:val="000000"/>
                <w:szCs w:val="21"/>
              </w:rPr>
              <w:t>、目前来看，猪周期速度加快了吗？全国肉猪出栏平均体重是否有增加？</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答：全国范围来</w:t>
            </w:r>
            <w:r>
              <w:rPr>
                <w:rFonts w:ascii="宋体" w:hAnsi="宋体" w:cs="宋体" w:hint="eastAsia"/>
                <w:color w:val="000000"/>
                <w:szCs w:val="21"/>
              </w:rPr>
              <w:t>看，肉猪养殖业的生产效率和技术指标提高了，如全国肉猪</w:t>
            </w:r>
            <w:r>
              <w:rPr>
                <w:rFonts w:ascii="宋体" w:hAnsi="宋体" w:cs="宋体" w:hint="eastAsia"/>
                <w:color w:val="000000"/>
                <w:szCs w:val="21"/>
              </w:rPr>
              <w:t>PSY</w:t>
            </w:r>
            <w:r>
              <w:rPr>
                <w:rFonts w:ascii="宋体" w:hAnsi="宋体" w:cs="宋体" w:hint="eastAsia"/>
                <w:color w:val="000000"/>
                <w:szCs w:val="21"/>
              </w:rPr>
              <w:t>由几年前</w:t>
            </w:r>
            <w:r>
              <w:rPr>
                <w:rFonts w:ascii="宋体" w:hAnsi="宋体" w:cs="宋体" w:hint="eastAsia"/>
                <w:color w:val="000000"/>
                <w:szCs w:val="21"/>
              </w:rPr>
              <w:t>16</w:t>
            </w:r>
            <w:r>
              <w:rPr>
                <w:rFonts w:ascii="宋体" w:hAnsi="宋体" w:cs="宋体" w:hint="eastAsia"/>
                <w:color w:val="000000"/>
                <w:szCs w:val="21"/>
              </w:rPr>
              <w:t>头提高到</w:t>
            </w:r>
            <w:r>
              <w:rPr>
                <w:rFonts w:ascii="宋体" w:hAnsi="宋体" w:cs="宋体" w:hint="eastAsia"/>
                <w:color w:val="000000"/>
                <w:szCs w:val="21"/>
              </w:rPr>
              <w:t>20</w:t>
            </w:r>
            <w:r>
              <w:rPr>
                <w:rFonts w:ascii="宋体" w:hAnsi="宋体" w:cs="宋体" w:hint="eastAsia"/>
                <w:color w:val="000000"/>
                <w:szCs w:val="21"/>
              </w:rPr>
              <w:t>头，规模化养殖的占比也不断提高。</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公司的肉猪出栏体重近年随着公司的育种技术的提升有提升。</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7</w:t>
            </w:r>
            <w:r>
              <w:rPr>
                <w:rFonts w:ascii="宋体" w:hAnsi="宋体" w:cs="宋体" w:hint="eastAsia"/>
                <w:b/>
                <w:bCs/>
                <w:color w:val="000000"/>
                <w:szCs w:val="21"/>
              </w:rPr>
              <w:t>、公司未来肉猪出栏目标会调整吗？</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答：公司未来肉猪出栏目标暂未作调整，但实现这个长期目标的时间和进度会根据未来行业格局的变化而可能有所调整。</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8</w:t>
            </w:r>
            <w:r>
              <w:rPr>
                <w:rFonts w:ascii="宋体" w:hAnsi="宋体" w:cs="宋体" w:hint="eastAsia"/>
                <w:b/>
                <w:bCs/>
                <w:color w:val="000000"/>
                <w:szCs w:val="21"/>
              </w:rPr>
              <w:t>、公司预计</w:t>
            </w:r>
            <w:r>
              <w:rPr>
                <w:rFonts w:ascii="宋体" w:hAnsi="宋体" w:cs="宋体" w:hint="eastAsia"/>
                <w:b/>
                <w:bCs/>
                <w:color w:val="000000"/>
                <w:szCs w:val="21"/>
              </w:rPr>
              <w:t>2019</w:t>
            </w:r>
            <w:r>
              <w:rPr>
                <w:rFonts w:ascii="宋体" w:hAnsi="宋体" w:cs="宋体" w:hint="eastAsia"/>
                <w:b/>
                <w:bCs/>
                <w:color w:val="000000"/>
                <w:szCs w:val="21"/>
              </w:rPr>
              <w:t>年肉猪和肉鸡的出栏量是多少？</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lastRenderedPageBreak/>
              <w:t>答：</w:t>
            </w:r>
            <w:r>
              <w:rPr>
                <w:rFonts w:ascii="宋体" w:hAnsi="宋体" w:cs="宋体" w:hint="eastAsia"/>
                <w:bCs/>
                <w:color w:val="000000"/>
                <w:szCs w:val="21"/>
              </w:rPr>
              <w:t>2019</w:t>
            </w:r>
            <w:r>
              <w:rPr>
                <w:rFonts w:ascii="宋体" w:hAnsi="宋体" w:cs="宋体" w:hint="eastAsia"/>
                <w:bCs/>
                <w:color w:val="000000"/>
                <w:szCs w:val="21"/>
              </w:rPr>
              <w:t>年商品肉猪出栏的计划</w:t>
            </w:r>
            <w:r>
              <w:rPr>
                <w:rFonts w:ascii="宋体" w:hAnsi="宋体" w:cs="宋体"/>
                <w:bCs/>
                <w:color w:val="000000"/>
                <w:szCs w:val="21"/>
              </w:rPr>
              <w:t>目标是</w:t>
            </w:r>
            <w:r>
              <w:rPr>
                <w:rFonts w:ascii="宋体" w:hAnsi="宋体" w:cs="宋体" w:hint="eastAsia"/>
                <w:bCs/>
                <w:color w:val="000000"/>
                <w:szCs w:val="21"/>
              </w:rPr>
              <w:t>2400</w:t>
            </w:r>
            <w:r>
              <w:rPr>
                <w:rFonts w:ascii="宋体" w:hAnsi="宋体" w:cs="宋体" w:hint="eastAsia"/>
                <w:bCs/>
                <w:color w:val="000000"/>
                <w:szCs w:val="21"/>
              </w:rPr>
              <w:t>万头左右，预计黄羽鸡出栏量比</w:t>
            </w:r>
            <w:r>
              <w:rPr>
                <w:rFonts w:ascii="宋体" w:hAnsi="宋体" w:cs="宋体" w:hint="eastAsia"/>
                <w:bCs/>
                <w:color w:val="000000"/>
                <w:szCs w:val="21"/>
              </w:rPr>
              <w:t>2018</w:t>
            </w:r>
            <w:r>
              <w:rPr>
                <w:rFonts w:ascii="宋体" w:hAnsi="宋体" w:cs="宋体" w:hint="eastAsia"/>
                <w:bCs/>
                <w:color w:val="000000"/>
                <w:szCs w:val="21"/>
              </w:rPr>
              <w:t>年出栏量有所增加。</w:t>
            </w:r>
          </w:p>
          <w:p w:rsidR="00000000" w:rsidRDefault="000B4E4E">
            <w:pPr>
              <w:ind w:firstLineChars="0" w:firstLine="0"/>
              <w:rPr>
                <w:rFonts w:ascii="宋体" w:hAnsi="宋体" w:cs="宋体"/>
                <w:b/>
                <w:bCs/>
                <w:color w:val="000000"/>
                <w:szCs w:val="21"/>
              </w:rPr>
            </w:pPr>
            <w:r>
              <w:rPr>
                <w:rFonts w:ascii="宋体" w:hAnsi="宋体" w:cs="宋体" w:hint="eastAsia"/>
                <w:b/>
                <w:bCs/>
                <w:color w:val="000000"/>
                <w:szCs w:val="21"/>
              </w:rPr>
              <w:t>9</w:t>
            </w:r>
            <w:r>
              <w:rPr>
                <w:rFonts w:ascii="宋体" w:hAnsi="宋体" w:cs="宋体" w:hint="eastAsia"/>
                <w:b/>
                <w:bCs/>
                <w:color w:val="000000"/>
                <w:szCs w:val="21"/>
              </w:rPr>
              <w:t>、</w:t>
            </w:r>
            <w:r>
              <w:rPr>
                <w:rFonts w:ascii="宋体" w:hAnsi="宋体" w:cs="宋体" w:hint="eastAsia"/>
                <w:b/>
                <w:bCs/>
                <w:color w:val="000000"/>
                <w:szCs w:val="21"/>
              </w:rPr>
              <w:t>非洲猪瘟疫情下，公司未来的产业战略如何？</w:t>
            </w:r>
          </w:p>
          <w:p w:rsidR="00000000" w:rsidRDefault="000B4E4E">
            <w:pPr>
              <w:ind w:firstLineChars="0" w:firstLine="0"/>
              <w:rPr>
                <w:rFonts w:ascii="宋体" w:hAnsi="宋体" w:cs="宋体"/>
                <w:color w:val="000000"/>
                <w:szCs w:val="21"/>
              </w:rPr>
            </w:pPr>
            <w:r>
              <w:rPr>
                <w:rFonts w:ascii="宋体" w:hAnsi="宋体" w:cs="宋体" w:hint="eastAsia"/>
                <w:color w:val="000000"/>
                <w:szCs w:val="21"/>
              </w:rPr>
              <w:t>答：</w:t>
            </w:r>
            <w:r>
              <w:rPr>
                <w:rFonts w:ascii="宋体" w:hAnsi="宋体" w:cs="宋体" w:hint="eastAsia"/>
                <w:color w:val="000000"/>
                <w:szCs w:val="21"/>
              </w:rPr>
              <w:t>1</w:t>
            </w:r>
            <w:r>
              <w:rPr>
                <w:rFonts w:ascii="宋体" w:hAnsi="宋体" w:cs="宋体" w:hint="eastAsia"/>
                <w:color w:val="000000"/>
                <w:szCs w:val="21"/>
              </w:rPr>
              <w:t>）延伸和完善产业链。养禽业继续转型升级，</w:t>
            </w:r>
            <w:r>
              <w:rPr>
                <w:rFonts w:ascii="宋体" w:hAnsi="宋体" w:cs="宋体" w:hint="eastAsia"/>
                <w:bCs/>
                <w:color w:val="000000"/>
                <w:szCs w:val="21"/>
              </w:rPr>
              <w:t>加快下游屠宰及深加工业务的拓展</w:t>
            </w:r>
            <w:r>
              <w:rPr>
                <w:rFonts w:ascii="宋体" w:hAnsi="宋体" w:cs="宋体" w:hint="eastAsia"/>
                <w:color w:val="000000"/>
                <w:szCs w:val="21"/>
              </w:rPr>
              <w:t>；养猪业加强肉猪生产与屠宰环节的产业链对接。</w:t>
            </w:r>
            <w:r>
              <w:rPr>
                <w:rFonts w:ascii="宋体" w:hAnsi="宋体" w:cs="宋体" w:hint="eastAsia"/>
                <w:color w:val="000000"/>
                <w:szCs w:val="21"/>
              </w:rPr>
              <w:t>2</w:t>
            </w:r>
            <w:r>
              <w:rPr>
                <w:rFonts w:ascii="宋体" w:hAnsi="宋体" w:cs="宋体" w:hint="eastAsia"/>
                <w:color w:val="000000"/>
                <w:szCs w:val="21"/>
              </w:rPr>
              <w:t>）稳步推进相关养殖业务发展，协同发展配套业务。加强动保业技术创新，加快拓宽农牧设备的外部市场，提高资金使用效率，继续提升水禽、乳业等盈利能力。</w:t>
            </w:r>
            <w:bookmarkStart w:id="0" w:name="_GoBack"/>
            <w:bookmarkEnd w:id="0"/>
          </w:p>
          <w:p w:rsidR="00000000" w:rsidRDefault="000B4E4E">
            <w:pPr>
              <w:spacing w:line="560" w:lineRule="exact"/>
              <w:ind w:firstLineChars="0" w:firstLine="0"/>
              <w:rPr>
                <w:rFonts w:ascii="宋体" w:hAnsi="宋体" w:cs="宋体"/>
                <w:b/>
                <w:color w:val="000000"/>
                <w:szCs w:val="21"/>
              </w:rPr>
            </w:pPr>
            <w:r>
              <w:rPr>
                <w:rFonts w:ascii="宋体" w:hAnsi="宋体" w:cs="宋体" w:hint="eastAsia"/>
                <w:b/>
                <w:bCs/>
                <w:color w:val="000000"/>
                <w:szCs w:val="21"/>
              </w:rPr>
              <w:t>10</w:t>
            </w:r>
            <w:r>
              <w:rPr>
                <w:rFonts w:ascii="宋体" w:hAnsi="宋体" w:cs="宋体" w:hint="eastAsia"/>
                <w:b/>
                <w:bCs/>
                <w:color w:val="000000"/>
                <w:szCs w:val="21"/>
              </w:rPr>
              <w:t>、</w:t>
            </w:r>
            <w:r>
              <w:rPr>
                <w:rFonts w:ascii="宋体" w:hAnsi="宋体" w:cs="宋体" w:hint="eastAsia"/>
                <w:b/>
                <w:color w:val="000000"/>
                <w:szCs w:val="21"/>
              </w:rPr>
              <w:t>公司种猪存栏量有多少？</w:t>
            </w:r>
          </w:p>
          <w:p w:rsidR="00000000" w:rsidRDefault="000B4E4E">
            <w:pPr>
              <w:ind w:firstLineChars="0" w:firstLine="0"/>
              <w:rPr>
                <w:rFonts w:ascii="宋体" w:hAnsi="宋体" w:cs="宋体"/>
                <w:color w:val="000000"/>
                <w:szCs w:val="21"/>
              </w:rPr>
            </w:pPr>
            <w:r>
              <w:rPr>
                <w:rFonts w:ascii="宋体" w:hAnsi="宋体" w:cs="宋体" w:hint="eastAsia"/>
                <w:bCs/>
                <w:color w:val="000000"/>
                <w:szCs w:val="21"/>
              </w:rPr>
              <w:t>答：目前公司拥有存栏种猪</w:t>
            </w:r>
            <w:r>
              <w:rPr>
                <w:rFonts w:ascii="宋体" w:hAnsi="宋体" w:cs="宋体" w:hint="eastAsia"/>
                <w:bCs/>
                <w:color w:val="000000"/>
                <w:szCs w:val="21"/>
              </w:rPr>
              <w:t>140</w:t>
            </w:r>
            <w:r>
              <w:rPr>
                <w:rFonts w:ascii="宋体" w:hAnsi="宋体" w:cs="宋体" w:hint="eastAsia"/>
                <w:bCs/>
                <w:color w:val="000000"/>
                <w:szCs w:val="21"/>
              </w:rPr>
              <w:t>多万头。</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0B4E4E">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lastRenderedPageBreak/>
              <w:t>附件清单（如有）</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pStyle w:val="a9"/>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kern w:val="2"/>
                <w:sz w:val="21"/>
                <w:szCs w:val="21"/>
              </w:rPr>
              <w:t>无</w:t>
            </w:r>
          </w:p>
        </w:tc>
      </w:tr>
      <w:tr w:rsidR="00000000">
        <w:trPr>
          <w:trHeight w:val="321"/>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0B4E4E">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t>日期</w:t>
            </w:r>
          </w:p>
        </w:tc>
        <w:tc>
          <w:tcPr>
            <w:tcW w:w="7699" w:type="dxa"/>
            <w:tcBorders>
              <w:top w:val="single" w:sz="4" w:space="0" w:color="auto"/>
              <w:left w:val="single" w:sz="4" w:space="0" w:color="auto"/>
              <w:bottom w:val="single" w:sz="4" w:space="0" w:color="auto"/>
              <w:right w:val="single" w:sz="4" w:space="0" w:color="auto"/>
            </w:tcBorders>
          </w:tcPr>
          <w:p w:rsidR="00000000" w:rsidRDefault="000B4E4E">
            <w:pPr>
              <w:pStyle w:val="a9"/>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bCs/>
                <w:iCs/>
                <w:color w:val="000000"/>
                <w:kern w:val="2"/>
                <w:sz w:val="21"/>
                <w:szCs w:val="21"/>
              </w:rPr>
              <w:t>2019</w:t>
            </w:r>
            <w:r>
              <w:rPr>
                <w:rFonts w:ascii="宋体" w:hAnsi="宋体" w:cs="宋体" w:hint="eastAsia"/>
                <w:bCs/>
                <w:iCs/>
                <w:color w:val="000000"/>
                <w:kern w:val="2"/>
                <w:sz w:val="21"/>
                <w:szCs w:val="21"/>
              </w:rPr>
              <w:t>年</w:t>
            </w:r>
            <w:r>
              <w:rPr>
                <w:rFonts w:ascii="宋体" w:hAnsi="宋体" w:cs="宋体" w:hint="eastAsia"/>
                <w:bCs/>
                <w:iCs/>
                <w:color w:val="000000"/>
                <w:kern w:val="2"/>
                <w:sz w:val="21"/>
                <w:szCs w:val="21"/>
              </w:rPr>
              <w:t>1</w:t>
            </w:r>
            <w:r>
              <w:rPr>
                <w:rFonts w:ascii="宋体" w:hAnsi="宋体" w:cs="宋体" w:hint="eastAsia"/>
                <w:bCs/>
                <w:iCs/>
                <w:color w:val="000000"/>
                <w:kern w:val="2"/>
                <w:sz w:val="21"/>
                <w:szCs w:val="21"/>
              </w:rPr>
              <w:t>月</w:t>
            </w:r>
            <w:r>
              <w:rPr>
                <w:rFonts w:ascii="宋体" w:hAnsi="宋体" w:cs="宋体" w:hint="eastAsia"/>
                <w:bCs/>
                <w:iCs/>
                <w:color w:val="000000"/>
                <w:kern w:val="2"/>
                <w:sz w:val="21"/>
                <w:szCs w:val="21"/>
              </w:rPr>
              <w:t>16</w:t>
            </w:r>
            <w:r>
              <w:rPr>
                <w:rFonts w:ascii="宋体" w:hAnsi="宋体" w:cs="宋体" w:hint="eastAsia"/>
                <w:bCs/>
                <w:iCs/>
                <w:color w:val="000000"/>
                <w:kern w:val="2"/>
                <w:sz w:val="21"/>
                <w:szCs w:val="21"/>
              </w:rPr>
              <w:t>日</w:t>
            </w:r>
          </w:p>
        </w:tc>
      </w:tr>
    </w:tbl>
    <w:p w:rsidR="00000000" w:rsidRDefault="000B4E4E">
      <w:pPr>
        <w:tabs>
          <w:tab w:val="left" w:pos="855"/>
        </w:tabs>
        <w:spacing w:line="240" w:lineRule="auto"/>
        <w:ind w:firstLineChars="0" w:firstLine="0"/>
        <w:rPr>
          <w:rFonts w:ascii="宋体" w:hAnsi="宋体"/>
          <w:color w:val="000000"/>
          <w:sz w:val="18"/>
          <w:szCs w:val="18"/>
        </w:rPr>
      </w:pPr>
    </w:p>
    <w:sectPr w:rsidR="00000000">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B4E4E">
      <w:pPr>
        <w:spacing w:line="240" w:lineRule="auto"/>
        <w:ind w:firstLine="420"/>
      </w:pPr>
      <w:r>
        <w:separator/>
      </w:r>
    </w:p>
  </w:endnote>
  <w:endnote w:type="continuationSeparator" w:id="0">
    <w:p w:rsidR="00000000" w:rsidRDefault="000B4E4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B4E4E">
      <w:pPr>
        <w:spacing w:line="240" w:lineRule="auto"/>
        <w:ind w:firstLine="420"/>
      </w:pPr>
      <w:r>
        <w:separator/>
      </w:r>
    </w:p>
  </w:footnote>
  <w:footnote w:type="continuationSeparator" w:id="0">
    <w:p w:rsidR="00000000" w:rsidRDefault="000B4E4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B4E4E">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oNotTrackMoves/>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3831"/>
    <w:rsid w:val="00003AF8"/>
    <w:rsid w:val="00006BB7"/>
    <w:rsid w:val="00015166"/>
    <w:rsid w:val="0003343A"/>
    <w:rsid w:val="00061EEC"/>
    <w:rsid w:val="00075A7B"/>
    <w:rsid w:val="0008094C"/>
    <w:rsid w:val="000A40E1"/>
    <w:rsid w:val="000A61F6"/>
    <w:rsid w:val="000A70EA"/>
    <w:rsid w:val="000A7546"/>
    <w:rsid w:val="000B2371"/>
    <w:rsid w:val="000B4E4E"/>
    <w:rsid w:val="000B74E2"/>
    <w:rsid w:val="000C2295"/>
    <w:rsid w:val="000D0832"/>
    <w:rsid w:val="000D53E3"/>
    <w:rsid w:val="000F3488"/>
    <w:rsid w:val="00123B5F"/>
    <w:rsid w:val="00133F8C"/>
    <w:rsid w:val="0013556C"/>
    <w:rsid w:val="00147E20"/>
    <w:rsid w:val="00162443"/>
    <w:rsid w:val="001652BE"/>
    <w:rsid w:val="00172A27"/>
    <w:rsid w:val="001A0B8D"/>
    <w:rsid w:val="001B201C"/>
    <w:rsid w:val="001B7516"/>
    <w:rsid w:val="001C6A27"/>
    <w:rsid w:val="00200246"/>
    <w:rsid w:val="0020150F"/>
    <w:rsid w:val="00203C54"/>
    <w:rsid w:val="00206224"/>
    <w:rsid w:val="00210B85"/>
    <w:rsid w:val="0021356F"/>
    <w:rsid w:val="00216547"/>
    <w:rsid w:val="00220E21"/>
    <w:rsid w:val="00227125"/>
    <w:rsid w:val="00227179"/>
    <w:rsid w:val="0023382F"/>
    <w:rsid w:val="00234079"/>
    <w:rsid w:val="00256005"/>
    <w:rsid w:val="00265404"/>
    <w:rsid w:val="00282ADF"/>
    <w:rsid w:val="00294A6A"/>
    <w:rsid w:val="002A3F95"/>
    <w:rsid w:val="002B50FA"/>
    <w:rsid w:val="002B72D6"/>
    <w:rsid w:val="002C0A29"/>
    <w:rsid w:val="002C10A8"/>
    <w:rsid w:val="002D003A"/>
    <w:rsid w:val="002E1477"/>
    <w:rsid w:val="002E552B"/>
    <w:rsid w:val="00304CBC"/>
    <w:rsid w:val="003074F3"/>
    <w:rsid w:val="003119B7"/>
    <w:rsid w:val="00314FDD"/>
    <w:rsid w:val="00327EDE"/>
    <w:rsid w:val="0033248D"/>
    <w:rsid w:val="00335640"/>
    <w:rsid w:val="00345349"/>
    <w:rsid w:val="00346B6F"/>
    <w:rsid w:val="0035669A"/>
    <w:rsid w:val="00381496"/>
    <w:rsid w:val="00384CE5"/>
    <w:rsid w:val="00386D14"/>
    <w:rsid w:val="00386F4B"/>
    <w:rsid w:val="003B4F14"/>
    <w:rsid w:val="003C34EA"/>
    <w:rsid w:val="003D30A9"/>
    <w:rsid w:val="003D5486"/>
    <w:rsid w:val="003D6F69"/>
    <w:rsid w:val="003E4E37"/>
    <w:rsid w:val="004019FD"/>
    <w:rsid w:val="0040541A"/>
    <w:rsid w:val="004058CF"/>
    <w:rsid w:val="00442E09"/>
    <w:rsid w:val="004506D0"/>
    <w:rsid w:val="00456E88"/>
    <w:rsid w:val="004769FB"/>
    <w:rsid w:val="00477F8D"/>
    <w:rsid w:val="00482C31"/>
    <w:rsid w:val="00487007"/>
    <w:rsid w:val="004A2023"/>
    <w:rsid w:val="004B5895"/>
    <w:rsid w:val="004C06C6"/>
    <w:rsid w:val="004C7A70"/>
    <w:rsid w:val="005147B5"/>
    <w:rsid w:val="0053194F"/>
    <w:rsid w:val="005528D1"/>
    <w:rsid w:val="00565FF1"/>
    <w:rsid w:val="005661D4"/>
    <w:rsid w:val="00572787"/>
    <w:rsid w:val="00596366"/>
    <w:rsid w:val="005A3444"/>
    <w:rsid w:val="005B6DF3"/>
    <w:rsid w:val="005E74BE"/>
    <w:rsid w:val="005E7EED"/>
    <w:rsid w:val="005F5674"/>
    <w:rsid w:val="00601054"/>
    <w:rsid w:val="00601BC2"/>
    <w:rsid w:val="00622FE2"/>
    <w:rsid w:val="00624C73"/>
    <w:rsid w:val="006266CF"/>
    <w:rsid w:val="00627B5F"/>
    <w:rsid w:val="006301BD"/>
    <w:rsid w:val="006303DB"/>
    <w:rsid w:val="006550A6"/>
    <w:rsid w:val="00661721"/>
    <w:rsid w:val="00664F96"/>
    <w:rsid w:val="00667FAE"/>
    <w:rsid w:val="00691A17"/>
    <w:rsid w:val="006C1926"/>
    <w:rsid w:val="006C259C"/>
    <w:rsid w:val="006E5C3C"/>
    <w:rsid w:val="006F52AA"/>
    <w:rsid w:val="00704992"/>
    <w:rsid w:val="007300C6"/>
    <w:rsid w:val="00746170"/>
    <w:rsid w:val="00754C09"/>
    <w:rsid w:val="00756EE2"/>
    <w:rsid w:val="007819AB"/>
    <w:rsid w:val="007840F2"/>
    <w:rsid w:val="00795401"/>
    <w:rsid w:val="007975C3"/>
    <w:rsid w:val="007C33BE"/>
    <w:rsid w:val="007D6CDC"/>
    <w:rsid w:val="007E0412"/>
    <w:rsid w:val="00803C2C"/>
    <w:rsid w:val="00807CF1"/>
    <w:rsid w:val="008207A2"/>
    <w:rsid w:val="00831A13"/>
    <w:rsid w:val="008413D9"/>
    <w:rsid w:val="008424DC"/>
    <w:rsid w:val="0084606D"/>
    <w:rsid w:val="00856D05"/>
    <w:rsid w:val="00885748"/>
    <w:rsid w:val="00885E78"/>
    <w:rsid w:val="008876B4"/>
    <w:rsid w:val="00887C15"/>
    <w:rsid w:val="008918F1"/>
    <w:rsid w:val="008A2A3E"/>
    <w:rsid w:val="008A7F98"/>
    <w:rsid w:val="00911244"/>
    <w:rsid w:val="00926F87"/>
    <w:rsid w:val="009355F3"/>
    <w:rsid w:val="00941182"/>
    <w:rsid w:val="00941E45"/>
    <w:rsid w:val="00960CD8"/>
    <w:rsid w:val="00964E7C"/>
    <w:rsid w:val="00966590"/>
    <w:rsid w:val="00980912"/>
    <w:rsid w:val="0098471B"/>
    <w:rsid w:val="00991CA6"/>
    <w:rsid w:val="00995283"/>
    <w:rsid w:val="0099724F"/>
    <w:rsid w:val="009A6A51"/>
    <w:rsid w:val="009D673F"/>
    <w:rsid w:val="009E7B62"/>
    <w:rsid w:val="009F5E34"/>
    <w:rsid w:val="00A04769"/>
    <w:rsid w:val="00A04909"/>
    <w:rsid w:val="00A079EE"/>
    <w:rsid w:val="00A16350"/>
    <w:rsid w:val="00A53624"/>
    <w:rsid w:val="00A5477F"/>
    <w:rsid w:val="00A55D73"/>
    <w:rsid w:val="00A6757D"/>
    <w:rsid w:val="00A7046C"/>
    <w:rsid w:val="00A72538"/>
    <w:rsid w:val="00A80DBE"/>
    <w:rsid w:val="00A812D1"/>
    <w:rsid w:val="00A81496"/>
    <w:rsid w:val="00A835C7"/>
    <w:rsid w:val="00A91BF9"/>
    <w:rsid w:val="00A953FD"/>
    <w:rsid w:val="00AA62E3"/>
    <w:rsid w:val="00AC233C"/>
    <w:rsid w:val="00AD2F2C"/>
    <w:rsid w:val="00AF3DA5"/>
    <w:rsid w:val="00B16E83"/>
    <w:rsid w:val="00B22D4E"/>
    <w:rsid w:val="00B27106"/>
    <w:rsid w:val="00B31730"/>
    <w:rsid w:val="00B32A29"/>
    <w:rsid w:val="00B362A7"/>
    <w:rsid w:val="00B40637"/>
    <w:rsid w:val="00B63E71"/>
    <w:rsid w:val="00B80F40"/>
    <w:rsid w:val="00B843A7"/>
    <w:rsid w:val="00B9075C"/>
    <w:rsid w:val="00B911B3"/>
    <w:rsid w:val="00B947F3"/>
    <w:rsid w:val="00B94F9D"/>
    <w:rsid w:val="00BA1ED4"/>
    <w:rsid w:val="00BB2296"/>
    <w:rsid w:val="00BB4E8C"/>
    <w:rsid w:val="00BD0768"/>
    <w:rsid w:val="00BD6226"/>
    <w:rsid w:val="00BF4E57"/>
    <w:rsid w:val="00BF6024"/>
    <w:rsid w:val="00BF7456"/>
    <w:rsid w:val="00C16190"/>
    <w:rsid w:val="00C21B40"/>
    <w:rsid w:val="00C238DF"/>
    <w:rsid w:val="00C241ED"/>
    <w:rsid w:val="00C4114B"/>
    <w:rsid w:val="00C547E9"/>
    <w:rsid w:val="00C6031B"/>
    <w:rsid w:val="00C67391"/>
    <w:rsid w:val="00C6754C"/>
    <w:rsid w:val="00C679D9"/>
    <w:rsid w:val="00C93B5F"/>
    <w:rsid w:val="00CA13DF"/>
    <w:rsid w:val="00CA1C31"/>
    <w:rsid w:val="00CB57D0"/>
    <w:rsid w:val="00CD434C"/>
    <w:rsid w:val="00CE7757"/>
    <w:rsid w:val="00D01422"/>
    <w:rsid w:val="00D04F46"/>
    <w:rsid w:val="00D062E9"/>
    <w:rsid w:val="00D1789F"/>
    <w:rsid w:val="00D22270"/>
    <w:rsid w:val="00D24EFD"/>
    <w:rsid w:val="00D27FBA"/>
    <w:rsid w:val="00D3663A"/>
    <w:rsid w:val="00D44E37"/>
    <w:rsid w:val="00D55479"/>
    <w:rsid w:val="00D61C3E"/>
    <w:rsid w:val="00D66D4C"/>
    <w:rsid w:val="00D958E0"/>
    <w:rsid w:val="00D96292"/>
    <w:rsid w:val="00D9631C"/>
    <w:rsid w:val="00DB30DC"/>
    <w:rsid w:val="00DC11FD"/>
    <w:rsid w:val="00DC1F8C"/>
    <w:rsid w:val="00DE2449"/>
    <w:rsid w:val="00DE36C0"/>
    <w:rsid w:val="00DE6269"/>
    <w:rsid w:val="00DF4CEE"/>
    <w:rsid w:val="00E100FF"/>
    <w:rsid w:val="00E222A3"/>
    <w:rsid w:val="00E35BCD"/>
    <w:rsid w:val="00E4258B"/>
    <w:rsid w:val="00E45140"/>
    <w:rsid w:val="00E529E7"/>
    <w:rsid w:val="00E704F6"/>
    <w:rsid w:val="00E8134B"/>
    <w:rsid w:val="00E90341"/>
    <w:rsid w:val="00E90C3B"/>
    <w:rsid w:val="00EC52B3"/>
    <w:rsid w:val="00EC7EB1"/>
    <w:rsid w:val="00EE3A58"/>
    <w:rsid w:val="00EF3C9D"/>
    <w:rsid w:val="00EF749D"/>
    <w:rsid w:val="00F02662"/>
    <w:rsid w:val="00F02BD8"/>
    <w:rsid w:val="00F140BD"/>
    <w:rsid w:val="00F320A2"/>
    <w:rsid w:val="00F36AEE"/>
    <w:rsid w:val="00F429CA"/>
    <w:rsid w:val="00F46484"/>
    <w:rsid w:val="00F575E6"/>
    <w:rsid w:val="00F57958"/>
    <w:rsid w:val="00F6061F"/>
    <w:rsid w:val="00F65616"/>
    <w:rsid w:val="00F6718B"/>
    <w:rsid w:val="00F77664"/>
    <w:rsid w:val="00F8066B"/>
    <w:rsid w:val="00F842ED"/>
    <w:rsid w:val="00F97063"/>
    <w:rsid w:val="00FA3B26"/>
    <w:rsid w:val="00FB2A10"/>
    <w:rsid w:val="00FB713B"/>
    <w:rsid w:val="00FD00C5"/>
    <w:rsid w:val="00FF1B04"/>
    <w:rsid w:val="00FF3329"/>
    <w:rsid w:val="01AF4033"/>
    <w:rsid w:val="02572E73"/>
    <w:rsid w:val="02757955"/>
    <w:rsid w:val="02C533FD"/>
    <w:rsid w:val="02EA2F2E"/>
    <w:rsid w:val="034D4148"/>
    <w:rsid w:val="035905F1"/>
    <w:rsid w:val="049938A3"/>
    <w:rsid w:val="05FE2ECD"/>
    <w:rsid w:val="06E45E84"/>
    <w:rsid w:val="06F72637"/>
    <w:rsid w:val="07551EF6"/>
    <w:rsid w:val="078308C5"/>
    <w:rsid w:val="07DB497B"/>
    <w:rsid w:val="083106E5"/>
    <w:rsid w:val="09F47154"/>
    <w:rsid w:val="0A4F7891"/>
    <w:rsid w:val="0A8D0148"/>
    <w:rsid w:val="0B3A631B"/>
    <w:rsid w:val="0B453024"/>
    <w:rsid w:val="0B801A14"/>
    <w:rsid w:val="0BED22BA"/>
    <w:rsid w:val="0BF318DB"/>
    <w:rsid w:val="0C1F32C7"/>
    <w:rsid w:val="0C3961A1"/>
    <w:rsid w:val="0C5F0757"/>
    <w:rsid w:val="0C837216"/>
    <w:rsid w:val="0CD264C1"/>
    <w:rsid w:val="0EB046E8"/>
    <w:rsid w:val="0F222141"/>
    <w:rsid w:val="0F59244F"/>
    <w:rsid w:val="0F780525"/>
    <w:rsid w:val="102C6071"/>
    <w:rsid w:val="10AC05CF"/>
    <w:rsid w:val="10ED50FF"/>
    <w:rsid w:val="112E6DBB"/>
    <w:rsid w:val="13F66A95"/>
    <w:rsid w:val="14E25BC3"/>
    <w:rsid w:val="15EC2A11"/>
    <w:rsid w:val="160B6A8B"/>
    <w:rsid w:val="165D4315"/>
    <w:rsid w:val="1836702B"/>
    <w:rsid w:val="18566913"/>
    <w:rsid w:val="18B509BA"/>
    <w:rsid w:val="19050A54"/>
    <w:rsid w:val="191D1114"/>
    <w:rsid w:val="193C4AB5"/>
    <w:rsid w:val="198922CA"/>
    <w:rsid w:val="19B42C33"/>
    <w:rsid w:val="19BD2066"/>
    <w:rsid w:val="1A625E0E"/>
    <w:rsid w:val="1B267EFA"/>
    <w:rsid w:val="1BA70ECF"/>
    <w:rsid w:val="1CAF29BD"/>
    <w:rsid w:val="1D19079A"/>
    <w:rsid w:val="1D2D5C55"/>
    <w:rsid w:val="1DD21CF4"/>
    <w:rsid w:val="1DD97D54"/>
    <w:rsid w:val="1E107C79"/>
    <w:rsid w:val="1E4D5A30"/>
    <w:rsid w:val="1E55670D"/>
    <w:rsid w:val="1F164BA8"/>
    <w:rsid w:val="1F4B6D51"/>
    <w:rsid w:val="1F6A1186"/>
    <w:rsid w:val="1F6C36DB"/>
    <w:rsid w:val="1FA53026"/>
    <w:rsid w:val="1FBE56EA"/>
    <w:rsid w:val="20382E4B"/>
    <w:rsid w:val="206B03AA"/>
    <w:rsid w:val="207A11A8"/>
    <w:rsid w:val="210732E0"/>
    <w:rsid w:val="213F0C9F"/>
    <w:rsid w:val="21DE2A72"/>
    <w:rsid w:val="21F2730C"/>
    <w:rsid w:val="21FE0464"/>
    <w:rsid w:val="2218656E"/>
    <w:rsid w:val="221C3B89"/>
    <w:rsid w:val="224F0511"/>
    <w:rsid w:val="231E6CB8"/>
    <w:rsid w:val="239C27A1"/>
    <w:rsid w:val="23FB36F7"/>
    <w:rsid w:val="241242FB"/>
    <w:rsid w:val="24127169"/>
    <w:rsid w:val="2474765A"/>
    <w:rsid w:val="261C27B9"/>
    <w:rsid w:val="26253597"/>
    <w:rsid w:val="26402E57"/>
    <w:rsid w:val="264C1691"/>
    <w:rsid w:val="26E620E7"/>
    <w:rsid w:val="27937DF9"/>
    <w:rsid w:val="28351E41"/>
    <w:rsid w:val="28390A92"/>
    <w:rsid w:val="285C470D"/>
    <w:rsid w:val="2898071D"/>
    <w:rsid w:val="28AA2C9B"/>
    <w:rsid w:val="28CC4965"/>
    <w:rsid w:val="292A3D3B"/>
    <w:rsid w:val="292B64B0"/>
    <w:rsid w:val="2A1D492F"/>
    <w:rsid w:val="2B3D15C2"/>
    <w:rsid w:val="2BA87FB8"/>
    <w:rsid w:val="2BD431B0"/>
    <w:rsid w:val="2CFE3ED1"/>
    <w:rsid w:val="2D4723B6"/>
    <w:rsid w:val="2D511091"/>
    <w:rsid w:val="2DBB34F3"/>
    <w:rsid w:val="2DF23032"/>
    <w:rsid w:val="2EB668FD"/>
    <w:rsid w:val="2EE333BF"/>
    <w:rsid w:val="2F9C0A34"/>
    <w:rsid w:val="2FA23DB4"/>
    <w:rsid w:val="2FF34A7F"/>
    <w:rsid w:val="307B3CC9"/>
    <w:rsid w:val="308C2950"/>
    <w:rsid w:val="30A97340"/>
    <w:rsid w:val="30F20982"/>
    <w:rsid w:val="31745AC8"/>
    <w:rsid w:val="317E0B15"/>
    <w:rsid w:val="31801E7D"/>
    <w:rsid w:val="318A6A1F"/>
    <w:rsid w:val="31DA2AAB"/>
    <w:rsid w:val="32401AE0"/>
    <w:rsid w:val="32472B56"/>
    <w:rsid w:val="32783C7E"/>
    <w:rsid w:val="328B6E68"/>
    <w:rsid w:val="33086FBB"/>
    <w:rsid w:val="33303468"/>
    <w:rsid w:val="33467A77"/>
    <w:rsid w:val="336C0C97"/>
    <w:rsid w:val="349A58C1"/>
    <w:rsid w:val="34EA44AE"/>
    <w:rsid w:val="357D2A50"/>
    <w:rsid w:val="3616055D"/>
    <w:rsid w:val="365D0B7B"/>
    <w:rsid w:val="36A578AF"/>
    <w:rsid w:val="377034CC"/>
    <w:rsid w:val="37F749A6"/>
    <w:rsid w:val="38644CD8"/>
    <w:rsid w:val="389B5551"/>
    <w:rsid w:val="389E6820"/>
    <w:rsid w:val="38D0481E"/>
    <w:rsid w:val="38D34B33"/>
    <w:rsid w:val="38F24D28"/>
    <w:rsid w:val="39182E6E"/>
    <w:rsid w:val="3A6F08A7"/>
    <w:rsid w:val="3AAF0573"/>
    <w:rsid w:val="3B4D11A9"/>
    <w:rsid w:val="3BFF63AC"/>
    <w:rsid w:val="3D2E641A"/>
    <w:rsid w:val="3D4A6EC4"/>
    <w:rsid w:val="3D69419C"/>
    <w:rsid w:val="3D7E02D3"/>
    <w:rsid w:val="3DB31E71"/>
    <w:rsid w:val="3DC17AD4"/>
    <w:rsid w:val="3E2F154C"/>
    <w:rsid w:val="3E5F3883"/>
    <w:rsid w:val="3F3941DE"/>
    <w:rsid w:val="3F4E53AE"/>
    <w:rsid w:val="3F5968CF"/>
    <w:rsid w:val="3F887EDD"/>
    <w:rsid w:val="3FD35BAC"/>
    <w:rsid w:val="3FEE3BDD"/>
    <w:rsid w:val="40C86AB8"/>
    <w:rsid w:val="41355562"/>
    <w:rsid w:val="41B76497"/>
    <w:rsid w:val="41D14624"/>
    <w:rsid w:val="41F47039"/>
    <w:rsid w:val="42672160"/>
    <w:rsid w:val="42917329"/>
    <w:rsid w:val="42B70375"/>
    <w:rsid w:val="42BD2D3A"/>
    <w:rsid w:val="42C043AF"/>
    <w:rsid w:val="42FD0E04"/>
    <w:rsid w:val="436B3001"/>
    <w:rsid w:val="437D4094"/>
    <w:rsid w:val="438D5A52"/>
    <w:rsid w:val="438D71D7"/>
    <w:rsid w:val="43AB2BCE"/>
    <w:rsid w:val="43C33A99"/>
    <w:rsid w:val="43E57E11"/>
    <w:rsid w:val="44EE730F"/>
    <w:rsid w:val="44F553AE"/>
    <w:rsid w:val="45D676E7"/>
    <w:rsid w:val="460B2F12"/>
    <w:rsid w:val="462A363E"/>
    <w:rsid w:val="466A6DD8"/>
    <w:rsid w:val="47417ABB"/>
    <w:rsid w:val="47FD635D"/>
    <w:rsid w:val="486840D4"/>
    <w:rsid w:val="48BC36EC"/>
    <w:rsid w:val="48F93466"/>
    <w:rsid w:val="48FF38DA"/>
    <w:rsid w:val="496024BC"/>
    <w:rsid w:val="4A591B21"/>
    <w:rsid w:val="4A863223"/>
    <w:rsid w:val="4ACF742A"/>
    <w:rsid w:val="4B15252D"/>
    <w:rsid w:val="4B455902"/>
    <w:rsid w:val="4B4E24B5"/>
    <w:rsid w:val="4B7A4FEA"/>
    <w:rsid w:val="4BDC6001"/>
    <w:rsid w:val="4BF526C3"/>
    <w:rsid w:val="4C752769"/>
    <w:rsid w:val="4CAC73E8"/>
    <w:rsid w:val="4D17051B"/>
    <w:rsid w:val="4D6B019B"/>
    <w:rsid w:val="4DA55AAF"/>
    <w:rsid w:val="4DB333A2"/>
    <w:rsid w:val="4E0B63C2"/>
    <w:rsid w:val="4EB91EF7"/>
    <w:rsid w:val="4EBE45FD"/>
    <w:rsid w:val="4ED31646"/>
    <w:rsid w:val="4EE82295"/>
    <w:rsid w:val="4FA95BD4"/>
    <w:rsid w:val="50400BD2"/>
    <w:rsid w:val="50455BE2"/>
    <w:rsid w:val="51AF3B5A"/>
    <w:rsid w:val="51D55906"/>
    <w:rsid w:val="52A324D9"/>
    <w:rsid w:val="52F459F0"/>
    <w:rsid w:val="533A57E1"/>
    <w:rsid w:val="53AE53FA"/>
    <w:rsid w:val="53C53664"/>
    <w:rsid w:val="53D0749E"/>
    <w:rsid w:val="54303EEE"/>
    <w:rsid w:val="54374E6E"/>
    <w:rsid w:val="5461009D"/>
    <w:rsid w:val="54C237EB"/>
    <w:rsid w:val="55183588"/>
    <w:rsid w:val="55282804"/>
    <w:rsid w:val="55714F3D"/>
    <w:rsid w:val="56216356"/>
    <w:rsid w:val="56603ABE"/>
    <w:rsid w:val="56C84B66"/>
    <w:rsid w:val="588C0B2A"/>
    <w:rsid w:val="592A035D"/>
    <w:rsid w:val="597923EC"/>
    <w:rsid w:val="5A2D346E"/>
    <w:rsid w:val="5B24192D"/>
    <w:rsid w:val="5B3F6A91"/>
    <w:rsid w:val="5B7C21FA"/>
    <w:rsid w:val="5BBA1357"/>
    <w:rsid w:val="5D3B3F6F"/>
    <w:rsid w:val="5D4B3015"/>
    <w:rsid w:val="5DEA07E7"/>
    <w:rsid w:val="5E2F6EE5"/>
    <w:rsid w:val="5EB439BF"/>
    <w:rsid w:val="5EBC0983"/>
    <w:rsid w:val="5EFE27C0"/>
    <w:rsid w:val="5F221C14"/>
    <w:rsid w:val="5F595571"/>
    <w:rsid w:val="5F8665D5"/>
    <w:rsid w:val="5FB02E04"/>
    <w:rsid w:val="5FEB5DA7"/>
    <w:rsid w:val="601E22E9"/>
    <w:rsid w:val="60D74E3B"/>
    <w:rsid w:val="61771238"/>
    <w:rsid w:val="618F62DA"/>
    <w:rsid w:val="625F1510"/>
    <w:rsid w:val="62770039"/>
    <w:rsid w:val="62782032"/>
    <w:rsid w:val="629A12A4"/>
    <w:rsid w:val="62B11B43"/>
    <w:rsid w:val="62D857FF"/>
    <w:rsid w:val="63116D3F"/>
    <w:rsid w:val="63584503"/>
    <w:rsid w:val="63AB4564"/>
    <w:rsid w:val="641A6C9F"/>
    <w:rsid w:val="64F84A85"/>
    <w:rsid w:val="65772E96"/>
    <w:rsid w:val="65777EFA"/>
    <w:rsid w:val="66163CBF"/>
    <w:rsid w:val="66451362"/>
    <w:rsid w:val="66CC1E47"/>
    <w:rsid w:val="670D0652"/>
    <w:rsid w:val="6799621F"/>
    <w:rsid w:val="67B641FF"/>
    <w:rsid w:val="69B2113E"/>
    <w:rsid w:val="6A3D5BFD"/>
    <w:rsid w:val="6B597556"/>
    <w:rsid w:val="6C1E7097"/>
    <w:rsid w:val="6C6A7057"/>
    <w:rsid w:val="6CE60B25"/>
    <w:rsid w:val="6CEE52C3"/>
    <w:rsid w:val="6D1A4B41"/>
    <w:rsid w:val="6D383662"/>
    <w:rsid w:val="6E3A0897"/>
    <w:rsid w:val="6EFD66F3"/>
    <w:rsid w:val="6F4C5F9E"/>
    <w:rsid w:val="6F6854B8"/>
    <w:rsid w:val="6F866384"/>
    <w:rsid w:val="6FDA2F49"/>
    <w:rsid w:val="6FEC2931"/>
    <w:rsid w:val="707B2266"/>
    <w:rsid w:val="709C495D"/>
    <w:rsid w:val="70F238D7"/>
    <w:rsid w:val="71154CFD"/>
    <w:rsid w:val="711C3233"/>
    <w:rsid w:val="72AE0DFE"/>
    <w:rsid w:val="72E90A8A"/>
    <w:rsid w:val="730D1A2E"/>
    <w:rsid w:val="73975903"/>
    <w:rsid w:val="73CF5BF4"/>
    <w:rsid w:val="73D02C0D"/>
    <w:rsid w:val="7432289A"/>
    <w:rsid w:val="74906CD2"/>
    <w:rsid w:val="74DF56D0"/>
    <w:rsid w:val="753A0453"/>
    <w:rsid w:val="758A5468"/>
    <w:rsid w:val="75D16F4A"/>
    <w:rsid w:val="7643589B"/>
    <w:rsid w:val="76C02CE2"/>
    <w:rsid w:val="76DF03DB"/>
    <w:rsid w:val="779B5911"/>
    <w:rsid w:val="78057967"/>
    <w:rsid w:val="78715F80"/>
    <w:rsid w:val="798C1529"/>
    <w:rsid w:val="79E13A20"/>
    <w:rsid w:val="79E71524"/>
    <w:rsid w:val="7A294D30"/>
    <w:rsid w:val="7B0E608B"/>
    <w:rsid w:val="7B331B8F"/>
    <w:rsid w:val="7BB328E9"/>
    <w:rsid w:val="7BF93641"/>
    <w:rsid w:val="7D503A65"/>
    <w:rsid w:val="7D9D6BA6"/>
    <w:rsid w:val="7E022C4F"/>
    <w:rsid w:val="7E080B6A"/>
    <w:rsid w:val="7E69337B"/>
    <w:rsid w:val="7ECF36A3"/>
    <w:rsid w:val="7F091868"/>
    <w:rsid w:val="7F9C6B5C"/>
    <w:rsid w:val="7FC143B2"/>
    <w:rsid w:val="7FE5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F5B70FD8-E125-43B8-BC4E-3E08390B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rFonts w:ascii="Times New Roman" w:eastAsia="宋体" w:hAnsi="Times New Roman"/>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页眉字符1"/>
    <w:basedOn w:val="a0"/>
    <w:uiPriority w:val="99"/>
    <w:semiHidden/>
    <w:qFormat/>
    <w:rPr>
      <w:rFonts w:ascii="Times New Roman" w:eastAsia="宋体" w:hAnsi="Times New Roman" w:cs="Times New Roman"/>
      <w:sz w:val="18"/>
      <w:szCs w:val="18"/>
    </w:rPr>
  </w:style>
  <w:style w:type="character" w:customStyle="1" w:styleId="a3">
    <w:name w:val="批注框文本 字符"/>
    <w:basedOn w:val="a0"/>
    <w:link w:val="a4"/>
    <w:uiPriority w:val="99"/>
    <w:semiHidden/>
    <w:qFormat/>
    <w:rPr>
      <w:rFonts w:ascii="Times New Roman" w:eastAsia="宋体" w:hAnsi="Times New Roman" w:cs="Times New Roman"/>
      <w:kern w:val="2"/>
      <w:sz w:val="18"/>
      <w:szCs w:val="18"/>
    </w:rPr>
  </w:style>
  <w:style w:type="character" w:customStyle="1" w:styleId="a5">
    <w:name w:val="页脚 字符"/>
    <w:link w:val="a6"/>
    <w:uiPriority w:val="99"/>
    <w:qFormat/>
    <w:rPr>
      <w:sz w:val="18"/>
      <w:szCs w:val="18"/>
    </w:rPr>
  </w:style>
  <w:style w:type="character" w:customStyle="1" w:styleId="10">
    <w:name w:val="页脚字符1"/>
    <w:basedOn w:val="a0"/>
    <w:uiPriority w:val="99"/>
    <w:semiHidden/>
    <w:qFormat/>
    <w:rPr>
      <w:rFonts w:ascii="Times New Roman" w:eastAsia="宋体" w:hAnsi="Times New Roman" w:cs="Times New Roman"/>
      <w:sz w:val="18"/>
      <w:szCs w:val="18"/>
    </w:rPr>
  </w:style>
  <w:style w:type="character" w:customStyle="1" w:styleId="a7">
    <w:name w:val="页眉 字符"/>
    <w:link w:val="a8"/>
    <w:uiPriority w:val="99"/>
    <w:qFormat/>
    <w:rPr>
      <w:sz w:val="18"/>
      <w:szCs w:val="18"/>
    </w:rPr>
  </w:style>
  <w:style w:type="paragraph" w:styleId="a9">
    <w:name w:val="Normal (Web)"/>
    <w:basedOn w:val="a"/>
    <w:uiPriority w:val="99"/>
    <w:unhideWhenUsed/>
    <w:qFormat/>
    <w:pPr>
      <w:spacing w:before="100" w:beforeAutospacing="1" w:after="100" w:afterAutospacing="1"/>
    </w:pPr>
    <w:rPr>
      <w:rFonts w:ascii="Calibri" w:hAnsi="Calibri"/>
      <w:kern w:val="0"/>
      <w:sz w:val="24"/>
    </w:rPr>
  </w:style>
  <w:style w:type="paragraph" w:styleId="a8">
    <w:name w:val="header"/>
    <w:basedOn w:val="a"/>
    <w:link w:val="a7"/>
    <w:uiPriority w:val="99"/>
    <w:unhideWhenUsed/>
    <w:qFormat/>
    <w:pPr>
      <w:pBdr>
        <w:bottom w:val="single" w:sz="6" w:space="1" w:color="auto"/>
      </w:pBdr>
      <w:tabs>
        <w:tab w:val="center" w:pos="4153"/>
        <w:tab w:val="right" w:pos="8306"/>
      </w:tabs>
      <w:snapToGrid w:val="0"/>
      <w:spacing w:line="240" w:lineRule="atLeast"/>
      <w:jc w:val="center"/>
    </w:pPr>
    <w:rPr>
      <w:rFonts w:ascii="等线" w:eastAsia="等线" w:hAnsi="等线"/>
      <w:kern w:val="0"/>
      <w:sz w:val="18"/>
      <w:szCs w:val="18"/>
    </w:rPr>
  </w:style>
  <w:style w:type="paragraph" w:styleId="a6">
    <w:name w:val="footer"/>
    <w:basedOn w:val="a"/>
    <w:link w:val="a5"/>
    <w:uiPriority w:val="99"/>
    <w:unhideWhenUsed/>
    <w:qFormat/>
    <w:pPr>
      <w:tabs>
        <w:tab w:val="center" w:pos="4153"/>
        <w:tab w:val="right" w:pos="8306"/>
      </w:tabs>
      <w:snapToGrid w:val="0"/>
      <w:spacing w:line="240" w:lineRule="atLeast"/>
    </w:pPr>
    <w:rPr>
      <w:rFonts w:ascii="等线" w:eastAsia="等线" w:hAnsi="等线"/>
      <w:kern w:val="0"/>
      <w:sz w:val="18"/>
      <w:szCs w:val="18"/>
    </w:rPr>
  </w:style>
  <w:style w:type="paragraph" w:styleId="a4">
    <w:name w:val="Balloon Text"/>
    <w:basedOn w:val="a"/>
    <w:link w:val="a3"/>
    <w:uiPriority w:val="99"/>
    <w:unhideWhenUsed/>
    <w:qFormat/>
    <w:pPr>
      <w:spacing w:line="240" w:lineRule="auto"/>
    </w:pPr>
    <w:rPr>
      <w:sz w:val="18"/>
      <w:szCs w:val="18"/>
    </w:rPr>
  </w:style>
  <w:style w:type="paragraph" w:styleId="aa">
    <w:name w:val="List Paragraph"/>
    <w:basedOn w:val="a"/>
    <w:uiPriority w:val="99"/>
    <w:qFormat/>
    <w:pPr>
      <w:ind w:firstLine="420"/>
    </w:pPr>
  </w:style>
  <w:style w:type="paragraph" w:customStyle="1" w:styleId="Default">
    <w:name w:val="Default"/>
    <w:uiPriority w:val="99"/>
    <w:unhideWhenUsed/>
    <w:qFormat/>
    <w:pPr>
      <w:widowControl w:val="0"/>
      <w:autoSpaceDE w:val="0"/>
      <w:autoSpaceDN w:val="0"/>
      <w:adjustRightInd w:val="0"/>
    </w:pPr>
    <w:rPr>
      <w:rFonts w:ascii="仿宋" w:eastAsia="仿宋" w:hAnsi="仿宋" w:hint="eastAsia"/>
      <w:color w:val="000000"/>
      <w:sz w:val="24"/>
    </w:rPr>
  </w:style>
  <w:style w:type="paragraph" w:styleId="ab">
    <w:name w:val="Revision"/>
    <w:hidden/>
    <w:uiPriority w:val="99"/>
    <w:unhideWhenUsed/>
    <w:rsid w:val="000B4E4E"/>
    <w:rPr>
      <w:rFonts w:ascii="Times New Roman" w:eastAsia="宋体"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1476</Characters>
  <Application>Microsoft Office Word</Application>
  <DocSecurity>0</DocSecurity>
  <Lines>12</Lines>
  <Paragraphs>3</Paragraphs>
  <ScaleCrop>false</ScaleCrop>
  <Company>微软中国</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罗 楚惟</cp:lastModifiedBy>
  <cp:revision>2</cp:revision>
  <cp:lastPrinted>2019-01-11T07:15:00Z</cp:lastPrinted>
  <dcterms:created xsi:type="dcterms:W3CDTF">2023-05-12T08:04:00Z</dcterms:created>
  <dcterms:modified xsi:type="dcterms:W3CDTF">2023-05-12T08:04:00Z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