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Executive Brief &amp; BU Vision Alignment</w:t>
      </w:r>
    </w:p>
    <w:p>
      <w:r>
        <w:rPr>
          <w:i/>
        </w:rPr>
        <w:t>Document 1 of 18 · BU-Aligned Library v2 · Renne Santiago</w:t>
      </w:r>
    </w:p>
    <w:p>
      <w:pPr>
        <w:pStyle w:val="Heading2"/>
      </w:pPr>
      <w:r>
        <w:rPr>
          <w:color w:val="CC0000"/>
        </w:rPr>
        <w:t>1. In one paragraph</w:t>
      </w:r>
    </w:p>
    <w:p>
      <w:r>
        <w:t xml:space="preserve">Boston University has made a deliberate architectural bet: AI and institutional data are two halves of one problem, and the answer is an owned, open, semantically-governed platform — Atlas — in which every agent reasons through an </w:t>
      </w:r>
      <w:r>
        <w:rPr>
          <w:b/>
        </w:rPr>
        <w:t>ontology</w:t>
      </w:r>
      <w:r>
        <w:t xml:space="preserve">, a </w:t>
      </w:r>
      <w:r>
        <w:rPr>
          <w:b/>
        </w:rPr>
        <w:t>semantic layer</w:t>
      </w:r>
      <w:r>
        <w:t xml:space="preserve">, and a </w:t>
      </w:r>
      <w:r>
        <w:rPr>
          <w:b/>
        </w:rPr>
        <w:t>curated knowledge base</w:t>
      </w:r>
      <w:r>
        <w:t xml:space="preserve"> before it ever touches a raw system. </w:t>
      </w:r>
      <w:r>
        <w:rPr>
          <w:b/>
        </w:rPr>
        <w:t>CogniBase brings Hyland OnBase into that discipline.</w:t>
      </w:r>
      <w:r>
        <w:t xml:space="preserve"> It is the OnBase-native member of the intelligence stack: it maps the schema, governs the corpus, resolves entities on sanctioned relationships rather than coincidence, and answers natural-language questions across OnBase and adjacent institutional data — with every cross-source claim auditable back to the rule that authorized it. It speaks BU's own fabric (MCP tools, OPA policy, Entra identity, an L1–L4 audit trail), so it is not a bolted-on product but a governed node BU controls.</w:t>
      </w:r>
    </w:p>
    <w:p>
      <w:pPr>
        <w:pStyle w:val="Heading2"/>
      </w:pPr>
      <w:r>
        <w:rPr>
          <w:color w:val="CC0000"/>
        </w:rPr>
        <w:t>2. BU's direction, stated plainly</w:t>
      </w:r>
    </w:p>
    <w:p>
      <w:r>
        <w:t xml:space="preserve">BU's published posture is a </w:t>
      </w:r>
      <w:r>
        <w:rPr>
          <w:b/>
        </w:rPr>
        <w:t>"critical embrace" of AI</w:t>
      </w:r>
      <w:r>
        <w:t>, operationalized as three commitments and a target architecture: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 commitment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 CogniBase honors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Architecture first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the foundation (ontology, semantic layer, owned knowledge) before scaling apps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 is a foundation layer for OnBase, not a chat skin over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Curated heterogeneity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Many models/platforms, no single bet; each earns its place on fit, cost, capability, </w:t>
            </w:r>
            <w:r>
              <w:rPr>
                <w:i/>
                <w:sz w:val="18"/>
              </w:rPr>
              <w:t>freedom to 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Vendor-pluggable LLMs (Claude/GPT/Gemini/local); plain-file artefacts; open exit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AI-native, not AI-assisted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Rebuild workflows so AI is the core interface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OnBase content becomes </w:t>
            </w:r>
            <w:r>
              <w:rPr>
                <w:i/>
                <w:sz w:val="18"/>
              </w:rPr>
              <w:t>queryable as knowledge</w:t>
            </w:r>
            <w:r>
              <w:rPr>
                <w:sz w:val="18"/>
              </w:rPr>
              <w:t>, not navigated as documents</w:t>
            </w:r>
          </w:p>
        </w:tc>
      </w:tr>
    </w:tbl>
    <w:p/>
    <w:p>
      <w:r>
        <w:t xml:space="preserve">BU's </w:t>
      </w:r>
      <w:r>
        <w:rPr>
          <w:b/>
        </w:rPr>
        <w:t>target intelligence stack</w:t>
      </w:r>
      <w:r>
        <w:t xml:space="preserve"> — the spine of the whole program — is four layers every agent must reason through, </w:t>
      </w:r>
      <w:r>
        <w:rPr>
          <w:i/>
        </w:rPr>
        <w:t>never reaching raw systems directly</w:t>
      </w:r>
      <w:r>
        <w:t>:</w:t>
      </w:r>
    </w:p>
    <w:p>
      <w:pPr>
        <w:ind w:left="432"/>
      </w:pPr>
      <w:r>
        <w:rPr>
          <w:b/>
          <w:i/>
          <w:color w:val="606060"/>
        </w:rPr>
        <w:t>Agent → Knowledge base → Semantic layer → Ontology</w:t>
      </w:r>
    </w:p>
    <w:p>
      <w:r>
        <w:t xml:space="preserve">This brief's thesis: </w:t>
      </w:r>
      <w:r>
        <w:rPr>
          <w:b/>
        </w:rPr>
        <w:t>OnBase is the largest institutional content store not yet represented in that stack — and CogniBase is how it gets there, correctly.</w:t>
      </w:r>
    </w:p>
    <w:p>
      <w:pPr>
        <w:pStyle w:val="Heading2"/>
      </w:pPr>
      <w:r>
        <w:rPr>
          <w:color w:val="CC0000"/>
        </w:rPr>
        <w:t>3. The missing node</w:t>
      </w:r>
    </w:p>
    <w:p>
      <w:r>
        <w:t xml:space="preserve">BU's current grounding sources — Person, Course, Student Hub, WordPress, ServiceNow — are real but partial. The university's system of record for contracts, invoices, transcripts, HR files, and decades of imaged documents is </w:t>
      </w:r>
      <w:r>
        <w:rPr>
          <w:b/>
        </w:rPr>
        <w:t>OnBase</w:t>
      </w:r>
      <w:r>
        <w:t>, and OnBase is uniquely hard to bring into an AI platform:</w:t>
      </w:r>
    </w:p>
    <w:p>
      <w:pPr>
        <w:pStyle w:val="ListBullet"/>
      </w:pPr>
      <w:r>
        <w:rPr>
          <w:b/>
        </w:rPr>
        <w:t>2,300+ tables, cryptic names, and almost no enforced foreign keys</w:t>
      </w:r>
      <w:r>
        <w:t xml:space="preserve"> — relationships live in application logic and configuration packages, not in the database.</w:t>
      </w:r>
    </w:p>
    <w:p>
      <w:pPr>
        <w:pStyle w:val="ListBullet"/>
      </w:pPr>
      <w:r>
        <w:rPr>
          <w:b/>
        </w:rPr>
        <w:t>Regulated content</w:t>
      </w:r>
      <w:r>
        <w:t xml:space="preserve"> (FERPA, GLBA) that cannot be casually shipped to a cloud model.</w:t>
      </w:r>
    </w:p>
    <w:p>
      <w:pPr>
        <w:pStyle w:val="ListBullet"/>
      </w:pPr>
      <w:r>
        <w:rPr>
          <w:b/>
        </w:rPr>
        <w:t>A configuration domain</w:t>
      </w:r>
      <w:r>
        <w:t xml:space="preserve"> (DocTypes, KeywordTypes, Lifecycles, Custom Queries) whose </w:t>
      </w:r>
      <w:r>
        <w:rPr>
          <w:i/>
        </w:rPr>
        <w:t>meaning</w:t>
      </w:r>
      <w:r>
        <w:t xml:space="preserve"> is invisible to a naïve "chat with your database" tool.</w:t>
      </w:r>
    </w:p>
    <w:p>
      <w:r>
        <w:t>CogniBase was built specifically for this. It does not displace anything on BU's roadmap — it fills the empty OnBase slot with a component designed to BU's own rules.</w:t>
      </w:r>
    </w:p>
    <w:p>
      <w:pPr>
        <w:pStyle w:val="Heading2"/>
      </w:pPr>
      <w:r>
        <w:rPr>
          <w:color w:val="CC0000"/>
        </w:rPr>
        <w:t>4. The trust thesis (why this brief leads with ontology)</w:t>
      </w:r>
    </w:p>
    <w:p>
      <w:r>
        <w:t xml:space="preserve">The defining risk of putting an AI over a data lake is not that it fails to find correlations — it is that </w:t>
      </w:r>
      <w:r>
        <w:rPr>
          <w:b/>
        </w:rPr>
        <w:t>it finds too many, convincingly, that are not real.</w:t>
      </w:r>
      <w:r>
        <w:t xml:space="preserve"> A model with access to data but not to the </w:t>
      </w:r>
      <w:r>
        <w:rPr>
          <w:i/>
        </w:rPr>
        <w:t>business-process model</w:t>
      </w:r>
      <w:r>
        <w:t xml:space="preserve"> behind it will assert that an OnBase </w:t>
      </w:r>
      <w:r>
        <w:rPr>
          <w:rFonts w:ascii="Consolas" w:hAnsi="Consolas"/>
          <w:sz w:val="19"/>
        </w:rPr>
        <w:t>AP_Name</w:t>
      </w:r>
      <w:r>
        <w:t xml:space="preserve"> "J. Smith," an SIS student "John Smith," and an HR record are the same entity — a fluent, fully-cited analysis that an audit later proves false. A neophyte believes it; the institution acts on a fiction.</w:t>
      </w:r>
    </w:p>
    <w:p>
      <w:r>
        <w:t xml:space="preserve">CogniBase's central design commitment is the opposite stance: </w:t>
      </w:r>
      <w:r>
        <w:rPr>
          <w:b/>
        </w:rPr>
        <w:t>a correlation is trustworthy only if a governed ontology sanctions it.</w:t>
      </w:r>
      <w:r>
        <w:t xml:space="preserve"> The system traverses only declared relationships, resolves entities on vetted keys (never name or embedding similarity alone), and labels anything unsanctioned as </w:t>
      </w:r>
      <w:r>
        <w:rPr>
          <w:i/>
        </w:rPr>
        <w:t>inferred and unverified</w:t>
      </w:r>
      <w:r>
        <w:t xml:space="preserve"> — excluded from authoritative claims. This is the subject of Documents 2 (Semantic &amp; Data Ontology) and 3 (Challenges &amp; Mitigations), and it is the single most important reason CogniBase belongs in an </w:t>
      </w:r>
      <w:r>
        <w:rPr>
          <w:i/>
        </w:rPr>
        <w:t>institutional</w:t>
      </w:r>
      <w:r>
        <w:t xml:space="preserve"> — not merely a clever — AI program.</w:t>
      </w:r>
    </w:p>
    <w:p>
      <w:pPr>
        <w:pStyle w:val="Heading2"/>
      </w:pPr>
      <w:r>
        <w:rPr>
          <w:color w:val="CC0000"/>
        </w:rPr>
        <w:t>5. How CogniBase maps onto Atlas</w:t>
      </w:r>
    </w:p>
    <w:p>
      <w:r>
        <w:t>CogniBase is designed to be an Atlas-native citizen, not a foreign service: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Atlas component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CogniBase relationship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Nexus</w:t>
            </w:r>
            <w:r>
              <w:rPr>
                <w:sz w:val="18"/>
              </w:rPr>
              <w:t xml:space="preserve"> (AI platform, MCP spine)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CogniBase registers in the </w:t>
            </w:r>
            <w:r>
              <w:rPr>
                <w:rFonts w:ascii="Consolas" w:hAnsi="Consolas"/>
                <w:sz w:val="18"/>
              </w:rPr>
              <w:t>mcp-gateway-registry</w:t>
            </w:r>
            <w:r>
              <w:rPr>
                <w:sz w:val="18"/>
              </w:rPr>
              <w:t>; Nexus/Regent agents call its tools (search, ask, schema-explain, federated-query)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Cortex</w:t>
            </w:r>
            <w:r>
              <w:rPr>
                <w:sz w:val="18"/>
              </w:rPr>
              <w:t xml:space="preserve"> (Iceberg/S3 lake, Trino)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 OnBase entities can be emitted to the lake — Trino-queryable, lineage-tracked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Lattice</w:t>
            </w:r>
            <w:r>
              <w:rPr>
                <w:sz w:val="18"/>
              </w:rPr>
              <w:t xml:space="preserve"> (APISIX, FastAPI)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 is FastAPI; deployable behind APISIX as a governed "OnBase API"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Lexicon</w:t>
            </w:r>
            <w:r>
              <w:rPr>
                <w:sz w:val="18"/>
              </w:rPr>
              <w:t xml:space="preserve"> (semantic layer, knowledge graph)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CogniBase's Normalizers/ontology feed BU's planned enterprise knowledge graph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Forge</w:t>
            </w:r>
            <w:r>
              <w:rPr>
                <w:sz w:val="18"/>
              </w:rPr>
              <w:t xml:space="preserve"> (EKS, OPA, Entra, audit)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→ OPA policy; identity → Entra ID; L1–L4 audit → BU's audit sinks</w:t>
            </w:r>
          </w:p>
        </w:tc>
      </w:tr>
    </w:tbl>
    <w:p/>
    <w:p>
      <w:r>
        <w:t xml:space="preserve">The integration surface is </w:t>
      </w:r>
      <w:r>
        <w:rPr>
          <w:b/>
        </w:rPr>
        <w:t>MCP first</w:t>
      </w:r>
      <w:r>
        <w:t xml:space="preserve"> (lightest, native), with a data-plane API path as the durable Phase-2 home. Detail in Documents 4, 11, and 14.</w:t>
      </w:r>
    </w:p>
    <w:p>
      <w:pPr>
        <w:pStyle w:val="Heading2"/>
      </w:pPr>
      <w:r>
        <w:rPr>
          <w:color w:val="CC0000"/>
        </w:rPr>
        <w:t>6. What a pilot proves</w:t>
      </w:r>
    </w:p>
    <w:p>
      <w:r>
        <w:t>A scoped pilot against a non-production OnBase instance demonstrates, in BU's own terms:</w:t>
      </w:r>
    </w:p>
    <w:p>
      <w:r>
        <w:t xml:space="preserve">1. </w:t>
      </w:r>
      <w:r>
        <w:rPr>
          <w:b/>
        </w:rPr>
        <w:t>Governed correlation</w:t>
      </w:r>
      <w:r>
        <w:t xml:space="preserve"> — a real cross-DocType / OnBase-↔-SIS question answered through </w:t>
      </w:r>
      <w:r>
        <w:rPr>
          <w:i/>
        </w:rPr>
        <w:t>sanctioned</w:t>
      </w:r>
      <w:r>
        <w:t xml:space="preserve"> relationships, with the inferred-vs-verified distinction visible to the user.</w:t>
      </w:r>
    </w:p>
    <w:p>
      <w:r>
        <w:t xml:space="preserve">2. </w:t>
      </w:r>
      <w:r>
        <w:rPr>
          <w:b/>
        </w:rPr>
        <w:t>Auditability</w:t>
      </w:r>
      <w:r>
        <w:t xml:space="preserve"> — every number traceable to its source and the rule that joined it (FERPA-grade).</w:t>
      </w:r>
    </w:p>
    <w:p>
      <w:r>
        <w:t xml:space="preserve">3. </w:t>
      </w:r>
      <w:r>
        <w:rPr>
          <w:b/>
        </w:rPr>
        <w:t>Atlas-native integration</w:t>
      </w:r>
      <w:r>
        <w:t xml:space="preserve"> — CogniBase reachable as an MCP tool from a Nexus agent.</w:t>
      </w:r>
    </w:p>
    <w:p>
      <w:r>
        <w:t xml:space="preserve">4. </w:t>
      </w:r>
      <w:r>
        <w:rPr>
          <w:b/>
        </w:rPr>
        <w:t>No lock-in</w:t>
      </w:r>
      <w:r>
        <w:t xml:space="preserve"> — artefacts as plain files; the whole profile portable; open exit demonstrated, not promised.</w:t>
      </w:r>
    </w:p>
    <w:p>
      <w:pPr>
        <w:pStyle w:val="Heading2"/>
      </w:pPr>
      <w:r>
        <w:rPr>
          <w:color w:val="CC0000"/>
        </w:rPr>
        <w:t>7. What we ask of BU</w:t>
      </w:r>
    </w:p>
    <w:p>
      <w:r>
        <w:t xml:space="preserve">Consistent with BU's "Working Together" model: a </w:t>
      </w:r>
      <w:r>
        <w:rPr>
          <w:b/>
        </w:rPr>
        <w:t>sponsoring team</w:t>
      </w:r>
      <w:r>
        <w:t xml:space="preserve">, a </w:t>
      </w:r>
      <w:r>
        <w:rPr>
          <w:b/>
        </w:rPr>
        <w:t>named technical contact</w:t>
      </w:r>
      <w:r>
        <w:t xml:space="preserve">, and </w:t>
      </w:r>
      <w:r>
        <w:rPr>
          <w:b/>
        </w:rPr>
        <w:t>one IT credential request</w:t>
      </w:r>
      <w:r>
        <w:t xml:space="preserve"> for a shared non-production OnBase instance usable by both CogniBase and BU's REST POC team. Coordination, scope, and roadmap are detailed in Document 16.</w:t>
      </w:r>
    </w:p>
    <w:p>
      <w:pPr>
        <w:pStyle w:val="Heading2"/>
      </w:pPr>
      <w:r>
        <w:rPr>
          <w:color w:val="CC0000"/>
        </w:rPr>
        <w:t>8. Reading guide to this library</w:t>
      </w:r>
    </w:p>
    <w:p>
      <w:pPr>
        <w:pStyle w:val="ListBullet"/>
      </w:pPr>
      <w:r>
        <w:rPr>
          <w:b/>
        </w:rPr>
        <w:t>Trust layer (read first):</w:t>
      </w:r>
      <w:r>
        <w:t xml:space="preserve"> Doc 2 </w:t>
      </w:r>
      <w:r>
        <w:rPr>
          <w:i/>
        </w:rPr>
        <w:t>Semantic &amp; Data Ontology</w:t>
      </w:r>
      <w:r>
        <w:t xml:space="preserve">, Doc 3 </w:t>
      </w:r>
      <w:r>
        <w:rPr>
          <w:i/>
        </w:rPr>
        <w:t>Challenges &amp; Mitigations</w:t>
      </w:r>
      <w:r>
        <w:t>.</w:t>
      </w:r>
    </w:p>
    <w:p>
      <w:pPr>
        <w:pStyle w:val="ListBullet"/>
      </w:pPr>
      <w:r>
        <w:rPr>
          <w:b/>
        </w:rPr>
        <w:t>Architecture &amp; knowledge:</w:t>
      </w:r>
      <w:r>
        <w:t xml:space="preserve"> Docs 4–10 (architecture, components, corpus, access, federation, hygiene, provenance).</w:t>
      </w:r>
    </w:p>
    <w:p>
      <w:pPr>
        <w:pStyle w:val="ListBullet"/>
      </w:pPr>
      <w:r>
        <w:rPr>
          <w:b/>
        </w:rPr>
        <w:t>Platform, model &amp; delivery:</w:t>
      </w:r>
      <w:r>
        <w:t xml:space="preserve"> Docs 11–14 (MCP/Nexus, model strategy, deployment/licensing, API &amp; tool contract).</w:t>
      </w:r>
    </w:p>
    <w:p>
      <w:pPr>
        <w:pStyle w:val="ListBullet"/>
      </w:pPr>
      <w:r>
        <w:rPr>
          <w:b/>
        </w:rPr>
        <w:t>Adaptive trust &amp; learning:</w:t>
      </w:r>
      <w:r>
        <w:t xml:space="preserve"> Document 17 — </w:t>
      </w:r>
      <w:r>
        <w:rPr>
          <w:i/>
        </w:rPr>
        <w:t>Confidence, Human-in-the-Loop Review &amp; Continuous Learning</w:t>
      </w:r>
      <w:r>
        <w:t>.</w:t>
      </w:r>
    </w:p>
    <w:p>
      <w:pPr>
        <w:pStyle w:val="ListBullet"/>
      </w:pPr>
      <w:r>
        <w:rPr>
          <w:b/>
        </w:rPr>
        <w:t>Systems landscape:</w:t>
      </w:r>
      <w:r>
        <w:t xml:space="preserve"> Document 18 — </w:t>
      </w:r>
      <w:r>
        <w:rPr>
          <w:i/>
        </w:rPr>
        <w:t>BU Systems of Record: Affinity &amp; Extension Map</w:t>
      </w:r>
      <w:r>
        <w:t>.</w:t>
      </w:r>
    </w:p>
    <w:p>
      <w:pPr>
        <w:pStyle w:val="ListBullet"/>
      </w:pPr>
      <w:r>
        <w:rPr>
          <w:b/>
        </w:rPr>
        <w:t>Appendices:</w:t>
      </w:r>
      <w:r>
        <w:t xml:space="preserve"> Appendix A — </w:t>
      </w:r>
      <w:r>
        <w:rPr>
          <w:i/>
        </w:rPr>
        <w:t>MapSnap × CogniBase Tandem &amp; Pre-Ingestion Augmentation</w:t>
      </w:r>
      <w:r>
        <w:t xml:space="preserve">; Appendix B — </w:t>
      </w:r>
      <w:r>
        <w:rPr>
          <w:i/>
        </w:rPr>
        <w:t>Alignment to BU's 2026 Roadmap (Four Lanes)</w:t>
      </w:r>
      <w:r>
        <w:t>.</w:t>
      </w:r>
    </w:p>
    <w:p>
      <w:pPr>
        <w:pStyle w:val="ListBullet"/>
      </w:pPr>
      <w:r>
        <w:rPr>
          <w:b/>
        </w:rPr>
        <w:t>Strategy &amp; engagement:</w:t>
      </w:r>
      <w:r>
        <w:t xml:space="preserve"> Doc 15 </w:t>
      </w:r>
      <w:r>
        <w:rPr>
          <w:i/>
        </w:rPr>
        <w:t>Beyond OnBase</w:t>
      </w:r>
      <w:r>
        <w:t xml:space="preserve">, Doc 16 </w:t>
      </w:r>
      <w:r>
        <w:rPr>
          <w:i/>
        </w:rPr>
        <w:t>Coordination &amp; Pilot Plan</w:t>
      </w:r>
      <w:r>
        <w:t>.</w:t>
      </w:r>
    </w:p>
    <w:p>
      <w:pPr>
        <w:ind w:left="432"/>
      </w:pPr>
      <w:r>
        <w:rPr>
          <w:i/>
          <w:color w:val="606060"/>
        </w:rPr>
        <w:t xml:space="preserve">CogniBase's promise to BU is not "an AI that talks to OnBase." It is </w:t>
      </w:r>
      <w:r>
        <w:rPr>
          <w:b/>
          <w:i/>
          <w:color w:val="606060"/>
        </w:rPr>
        <w:t>OnBase made institution-grade knowledge</w:t>
      </w:r>
      <w:r>
        <w:rPr>
          <w:i/>
          <w:color w:val="606060"/>
        </w:rPr>
        <w:t xml:space="preserve"> — governed, semantic, auditable, and owned — on the architecture BU has already chosen.</w:t>
      </w:r>
    </w:p>
    <w:p>
      <w:r>
        <w:rPr>
          <w:i/>
        </w:rPr>
        <w:t>Document 1 of 18 · Frame A (BU-vision-led)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