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  <w:sz w:val="40"/>
        </w:rPr>
        <w:t>CogniBase — Challenges &amp; Mitigations</w:t>
      </w:r>
    </w:p>
    <w:p>
      <w:r>
        <w:rPr>
          <w:i/>
        </w:rPr>
        <w:t>Document 3 of 18 · BU-Aligned Library v2 · Renne Santiago</w:t>
      </w:r>
    </w:p>
    <w:p>
      <w:r>
        <w:rPr>
          <w:i/>
        </w:rPr>
        <w:t>An honest risk register for bringing OnBase into BU's intelligence stack — and how each risk is resolved.</w:t>
      </w:r>
    </w:p>
    <w:p>
      <w:pPr>
        <w:pStyle w:val="Heading2"/>
      </w:pPr>
      <w:r>
        <w:rPr>
          <w:color w:val="CC0000"/>
        </w:rPr>
        <w:t>1. Why this document exists</w:t>
      </w:r>
    </w:p>
    <w:p>
      <w:r>
        <w:t xml:space="preserve">A credible institutional program names its risks before a sponsor does. This document is the consolidated risk register for CogniBase at BU. Each entry states the </w:t>
      </w:r>
      <w:r>
        <w:rPr>
          <w:b/>
        </w:rPr>
        <w:t>challenge</w:t>
      </w:r>
      <w:r>
        <w:t xml:space="preserve">, its </w:t>
      </w:r>
      <w:r>
        <w:rPr>
          <w:b/>
        </w:rPr>
        <w:t>impact</w:t>
      </w:r>
      <w:r>
        <w:t xml:space="preserve">, the </w:t>
      </w:r>
      <w:r>
        <w:rPr>
          <w:b/>
        </w:rPr>
        <w:t>mitigation</w:t>
      </w:r>
      <w:r>
        <w:t xml:space="preserve"> (mapped to a CogniBase mechanism and/or BU's own stack), and the </w:t>
      </w:r>
      <w:r>
        <w:rPr>
          <w:b/>
        </w:rPr>
        <w:t>residual risk</w:t>
      </w:r>
      <w:r>
        <w:t xml:space="preserve"> that remains for the pilot to retire. The headline risk — fabricated correlation — is summarized here and treated in depth in Document 2.</w:t>
      </w:r>
    </w:p>
    <w:p>
      <w:pPr>
        <w:pStyle w:val="Heading2"/>
      </w:pPr>
      <w:r>
        <w:rPr>
          <w:color w:val="CC0000"/>
        </w:rPr>
        <w:t>2. Risk register</w:t>
      </w:r>
    </w:p>
    <w:p>
      <w:pPr>
        <w:pStyle w:val="Heading3"/>
      </w:pPr>
      <w:r>
        <w:rPr>
          <w:color w:val="CC0000"/>
        </w:rPr>
        <w:t>R1 — Fabricated correlation ("convincing but false"; formally *spurious correlation* / *conflation* / *ungrounded inference* — see Document 2 §1a)</w:t>
      </w:r>
    </w:p>
    <w:p>
      <w:pPr>
        <w:pStyle w:val="ListBullet"/>
      </w:pPr>
      <w:r>
        <w:rPr>
          <w:b/>
        </w:rPr>
        <w:t>Impact:</w:t>
      </w:r>
      <w:r>
        <w:t xml:space="preserve"> Critical. A fluent, cited, wrong cross-source analysis that a non-expert believes; collapses trust in all AI output when audited.</w:t>
      </w:r>
    </w:p>
    <w:p>
      <w:pPr>
        <w:pStyle w:val="ListBullet"/>
      </w:pPr>
      <w:r>
        <w:rPr>
          <w:b/>
        </w:rPr>
        <w:t>Mitigation:</w:t>
      </w:r>
      <w:r>
        <w:t xml:space="preserve"> Governed ontology; deny-by-default joins; entity resolution on vetted keys; inferred-vs-verified labeling; provenance on every claim. </w:t>
      </w:r>
      <w:r>
        <w:rPr>
          <w:b/>
        </w:rPr>
        <w:t>Full treatment in Document 2.</w:t>
      </w:r>
    </w:p>
    <w:p>
      <w:pPr>
        <w:pStyle w:val="ListBullet"/>
      </w:pPr>
      <w:r>
        <w:rPr>
          <w:b/>
        </w:rPr>
        <w:t>Residual:</w:t>
      </w:r>
      <w:r>
        <w:t xml:space="preserve"> Coverage gaps where no ontology edge exists yet — handled honestly by returning </w:t>
      </w:r>
      <w:r>
        <w:rPr>
          <w:i/>
        </w:rPr>
        <w:t>inferred/unverified</w:t>
      </w:r>
      <w:r>
        <w:t>, never a guess.</w:t>
      </w:r>
    </w:p>
    <w:p>
      <w:pPr>
        <w:pStyle w:val="Heading3"/>
      </w:pPr>
      <w:r>
        <w:rPr>
          <w:color w:val="CC0000"/>
        </w:rPr>
        <w:t>R2 — Entity-resolution ambiguity (no clean shared key)</w:t>
      </w:r>
    </w:p>
    <w:p>
      <w:pPr>
        <w:pStyle w:val="ListBullet"/>
      </w:pPr>
      <w:r>
        <w:rPr>
          <w:b/>
        </w:rPr>
        <w:t>Impact:</w:t>
      </w:r>
      <w:r>
        <w:t xml:space="preserve"> High. Sources that </w:t>
      </w:r>
      <w:r>
        <w:rPr>
          <w:i/>
        </w:rPr>
        <w:t>should</w:t>
      </w:r>
      <w:r>
        <w:t xml:space="preserve"> join have no reliable common identifier (legacy applicant numbers vs. student IDs; free-text names).</w:t>
      </w:r>
    </w:p>
    <w:p>
      <w:pPr>
        <w:pStyle w:val="ListBullet"/>
      </w:pPr>
      <w:r>
        <w:rPr>
          <w:b/>
        </w:rPr>
        <w:t>Mitigation:</w:t>
      </w:r>
      <w:r>
        <w:t xml:space="preserve"> Normalizers declare canonical keys; match-confidence scoring; a record without a sanctioned key is never silently joined — it is surfaced for stewardship or returned inferred-only.</w:t>
      </w:r>
    </w:p>
    <w:p>
      <w:pPr>
        <w:pStyle w:val="ListBullet"/>
      </w:pPr>
      <w:r>
        <w:rPr>
          <w:b/>
        </w:rPr>
        <w:t>Residual:</w:t>
      </w:r>
      <w:r>
        <w:t xml:space="preserve"> Manual steward effort to ratify keys for high-value joins; deliberately bounded to where a real question exists.</w:t>
      </w:r>
    </w:p>
    <w:p>
      <w:pPr>
        <w:pStyle w:val="Heading3"/>
      </w:pPr>
      <w:r>
        <w:rPr>
          <w:color w:val="CC0000"/>
        </w:rPr>
        <w:t>R3 — OnBase soft/undeclared foreign keys</w:t>
      </w:r>
    </w:p>
    <w:p>
      <w:pPr>
        <w:pStyle w:val="ListBullet"/>
      </w:pPr>
      <w:r>
        <w:rPr>
          <w:b/>
        </w:rPr>
        <w:t>Impact:</w:t>
      </w:r>
      <w:r>
        <w:t xml:space="preserve"> High. OnBase enforces relationships in the application layer; a raw schema shows disconnected islands.</w:t>
      </w:r>
    </w:p>
    <w:p>
      <w:pPr>
        <w:pStyle w:val="ListBullet"/>
      </w:pPr>
      <w:r>
        <w:rPr>
          <w:b/>
        </w:rPr>
        <w:t>Mitigation:</w:t>
      </w:r>
      <w:r>
        <w:t xml:space="preserve"> Three fused sources — live metadata, Module-Reference-Guide annotations, and </w:t>
      </w:r>
      <w:r>
        <w:rPr>
          <w:rFonts w:ascii="Consolas" w:hAnsi="Consolas"/>
          <w:sz w:val="19"/>
        </w:rPr>
        <w:t>.expk</w:t>
      </w:r>
      <w:r>
        <w:t xml:space="preserve"> configuration — with every inferred relationship tagged </w:t>
      </w:r>
      <w:r>
        <w:rPr>
          <w:rFonts w:ascii="Consolas" w:hAnsi="Consolas"/>
          <w:sz w:val="19"/>
        </w:rPr>
        <w:t>confidence</w:t>
      </w:r>
      <w:r>
        <w:t xml:space="preserve"> + </w:t>
      </w:r>
      <w:r>
        <w:rPr>
          <w:rFonts w:ascii="Consolas" w:hAnsi="Consolas"/>
          <w:sz w:val="19"/>
        </w:rPr>
        <w:t>source</w:t>
      </w:r>
      <w:r>
        <w:t>. (Prior run: 34 MRG-derived + 6,167 inferred soft FKs, each weighted.)</w:t>
      </w:r>
    </w:p>
    <w:p>
      <w:pPr>
        <w:pStyle w:val="ListBullet"/>
      </w:pPr>
      <w:r>
        <w:rPr>
          <w:b/>
        </w:rPr>
        <w:t>Residual:</w:t>
      </w:r>
      <w:r>
        <w:t xml:space="preserve"> Inference confidence varies; low-confidence edges are advisory, not authoritative.</w:t>
      </w:r>
    </w:p>
    <w:p>
      <w:pPr>
        <w:pStyle w:val="Heading3"/>
      </w:pPr>
      <w:r>
        <w:rPr>
          <w:color w:val="CC0000"/>
        </w:rPr>
        <w:t>R4 — PII leakage across corpora (FERPA)</w:t>
      </w:r>
    </w:p>
    <w:p>
      <w:pPr>
        <w:pStyle w:val="ListBullet"/>
      </w:pPr>
      <w:r>
        <w:rPr>
          <w:b/>
        </w:rPr>
        <w:t>Impact:</w:t>
      </w:r>
      <w:r>
        <w:t xml:space="preserve"> Critical. Mixing end-user metadata (possible PII) with reference docs leaks PII into admin answers and blows retrieval relevance.</w:t>
      </w:r>
    </w:p>
    <w:p>
      <w:pPr>
        <w:pStyle w:val="ListBullet"/>
      </w:pPr>
      <w:r>
        <w:rPr>
          <w:b/>
        </w:rPr>
        <w:t>Mitigation:</w:t>
      </w:r>
      <w:r>
        <w:t xml:space="preserve"> </w:t>
      </w:r>
      <w:r>
        <w:rPr>
          <w:b/>
        </w:rPr>
        <w:t>Three-corpus separation</w:t>
      </w:r>
      <w:r>
        <w:t xml:space="preserve"> (Operational / Configuration / Solution Documentation); Privacy Transformer (k-anonymity floor, pseudonymization, suppression) before any result reaches LLM context; Gates per group/perimeter. </w:t>
      </w:r>
      <w:r>
        <w:rPr>
          <w:b/>
        </w:rPr>
        <w:t>No HIPAA/PCI ingestion</w:t>
      </w:r>
      <w:r>
        <w:t>, by policy.</w:t>
      </w:r>
    </w:p>
    <w:p>
      <w:pPr>
        <w:pStyle w:val="ListBullet"/>
      </w:pPr>
      <w:r>
        <w:rPr>
          <w:b/>
        </w:rPr>
        <w:t>Residual:</w:t>
      </w:r>
      <w:r>
        <w:t xml:space="preserve"> Solution docs may contain PII in screenshots → their own hygiene pass.</w:t>
      </w:r>
    </w:p>
    <w:p>
      <w:pPr>
        <w:pStyle w:val="Heading3"/>
      </w:pPr>
      <w:r>
        <w:rPr>
          <w:color w:val="CC0000"/>
        </w:rPr>
        <w:t>R5 — Identity, access &amp; OnBase ACLs</w:t>
      </w:r>
    </w:p>
    <w:p>
      <w:pPr>
        <w:pStyle w:val="ListBullet"/>
      </w:pPr>
      <w:r>
        <w:rPr>
          <w:b/>
        </w:rPr>
        <w:t>Impact:</w:t>
      </w:r>
      <w:r>
        <w:t xml:space="preserve"> High. Institutional AI must be identity-aware; CogniBase must not let a user see what OnBase would deny them.</w:t>
      </w:r>
    </w:p>
    <w:p>
      <w:pPr>
        <w:pStyle w:val="ListBullet"/>
      </w:pPr>
      <w:r>
        <w:rPr>
          <w:b/>
        </w:rPr>
        <w:t>Mitigation:</w:t>
      </w:r>
      <w:r>
        <w:t xml:space="preserve"> </w:t>
      </w:r>
      <w:r>
        <w:rPr>
          <w:b/>
        </w:rPr>
        <w:t>Entra ID (MSAL PKCE)</w:t>
      </w:r>
      <w:r>
        <w:t xml:space="preserve"> SSO; per-user isolation; </w:t>
      </w:r>
      <w:r>
        <w:rPr>
          <w:b/>
        </w:rPr>
        <w:t>OnBase OAuth/AD identity passthrough — CogniBase cannot bypass OnBase ACLs</w:t>
      </w:r>
      <w:r>
        <w:t>; audit logging on every access.</w:t>
      </w:r>
    </w:p>
    <w:p>
      <w:pPr>
        <w:pStyle w:val="ListBullet"/>
      </w:pPr>
      <w:r>
        <w:rPr>
          <w:b/>
        </w:rPr>
        <w:t>Residual:</w:t>
      </w:r>
      <w:r>
        <w:t xml:space="preserve"> Mapping CogniBase Groups to BU's identity model is a pilot task (Document 13/16).</w:t>
      </w:r>
    </w:p>
    <w:p>
      <w:pPr>
        <w:pStyle w:val="Heading3"/>
      </w:pPr>
      <w:r>
        <w:rPr>
          <w:color w:val="CC0000"/>
        </w:rPr>
        <w:t>R6 — Deployment mismatch (local-first vs. EKS/ARM)</w:t>
      </w:r>
    </w:p>
    <w:p>
      <w:pPr>
        <w:pStyle w:val="ListBullet"/>
      </w:pPr>
      <w:r>
        <w:rPr>
          <w:b/>
        </w:rPr>
        <w:t>Impact:</w:t>
      </w:r>
      <w:r>
        <w:t xml:space="preserve"> Medium. CogniBase is local-first; BU runs EKS + Graviton (ARM64) + ArgoCD.</w:t>
      </w:r>
    </w:p>
    <w:p>
      <w:pPr>
        <w:pStyle w:val="ListBullet"/>
      </w:pPr>
      <w:r>
        <w:rPr>
          <w:b/>
        </w:rPr>
        <w:t>Mitigation:</w:t>
      </w:r>
      <w:r>
        <w:t xml:space="preserve"> Already Docker/compose; publish </w:t>
      </w:r>
      <w:r>
        <w:rPr>
          <w:b/>
        </w:rPr>
        <w:t>ARM64 image + Helm chart</w:t>
      </w:r>
      <w:r>
        <w:t>; front with APISIX. Dual packaging keeps the local-first edition (a differentiator) and adds the enterprise edition. (Documents 13.)</w:t>
      </w:r>
    </w:p>
    <w:p>
      <w:pPr>
        <w:pStyle w:val="ListBullet"/>
      </w:pPr>
      <w:r>
        <w:rPr>
          <w:b/>
        </w:rPr>
        <w:t>Residual:</w:t>
      </w:r>
      <w:r>
        <w:t xml:space="preserve"> ARM smoke-testing + Helm hardening — scoped, low-risk engineering.</w:t>
      </w:r>
    </w:p>
    <w:p>
      <w:pPr>
        <w:pStyle w:val="Heading3"/>
      </w:pPr>
      <w:r>
        <w:rPr>
          <w:color w:val="CC0000"/>
        </w:rPr>
        <w:t>R7 — Open-source licensing (AGPL / SSPL) hygiene</w:t>
      </w:r>
    </w:p>
    <w:p>
      <w:pPr>
        <w:pStyle w:val="ListBullet"/>
      </w:pPr>
      <w:r>
        <w:rPr>
          <w:b/>
        </w:rPr>
        <w:t>Impact:</w:t>
      </w:r>
      <w:r>
        <w:t xml:space="preserve"> Medium. Some "open" components (Grafana/Loki = AGPL; MongoDB = SSPL) are unsafe to bundle into a product.</w:t>
      </w:r>
    </w:p>
    <w:p>
      <w:pPr>
        <w:pStyle w:val="ListBullet"/>
      </w:pPr>
      <w:r>
        <w:rPr>
          <w:b/>
        </w:rPr>
        <w:t>Mitigation:</w:t>
      </w:r>
      <w:r>
        <w:t xml:space="preserve"> </w:t>
      </w:r>
      <w:r>
        <w:rPr>
          <w:b/>
        </w:rPr>
        <w:t>Two-edition design.</w:t>
      </w:r>
      <w:r>
        <w:t xml:space="preserve"> Bundle only permissive deps; keep AGPL backends </w:t>
      </w:r>
      <w:r>
        <w:rPr>
          <w:b/>
        </w:rPr>
        <w:t>arm's-length/customer-provided</w:t>
      </w:r>
      <w:r>
        <w:t xml:space="preserve"> (emit OTLP, BYO dashboard); use </w:t>
      </w:r>
      <w:r>
        <w:rPr>
          <w:b/>
        </w:rPr>
        <w:t>Postgres/JSONB</w:t>
      </w:r>
      <w:r>
        <w:t xml:space="preserve"> instead of MongoDB. (Document 13.)</w:t>
      </w:r>
    </w:p>
    <w:p>
      <w:pPr>
        <w:pStyle w:val="ListBullet"/>
      </w:pPr>
      <w:r>
        <w:rPr>
          <w:b/>
        </w:rPr>
        <w:t>Residual:</w:t>
      </w:r>
      <w:r>
        <w:t xml:space="preserve"> Counsel review of LICENSE/NOTICE manifests before any commercial release.</w:t>
      </w:r>
    </w:p>
    <w:p>
      <w:pPr>
        <w:pStyle w:val="Heading3"/>
      </w:pPr>
      <w:r>
        <w:rPr>
          <w:color w:val="CC0000"/>
        </w:rPr>
        <w:t>R8 — Vendor lock-in vs. "freedom to leave"</w:t>
      </w:r>
    </w:p>
    <w:p>
      <w:pPr>
        <w:pStyle w:val="ListBullet"/>
      </w:pPr>
      <w:r>
        <w:rPr>
          <w:b/>
        </w:rPr>
        <w:t>Impact:</w:t>
      </w:r>
      <w:r>
        <w:t xml:space="preserve"> Medium. BU rejects lock-in as a selection criterion.</w:t>
      </w:r>
    </w:p>
    <w:p>
      <w:pPr>
        <w:pStyle w:val="ListBullet"/>
      </w:pPr>
      <w:r>
        <w:rPr>
          <w:b/>
        </w:rPr>
        <w:t>Mitigation:</w:t>
      </w:r>
      <w:r>
        <w:t xml:space="preserve"> Plain-file artefacts (schema.json, annotations, anchors as files); open table formats for lake emit; open exit demonstrated in the pilot. Portability is a </w:t>
      </w:r>
      <w:r>
        <w:rPr>
          <w:i/>
        </w:rPr>
        <w:t>feature</w:t>
      </w:r>
      <w:r>
        <w:t>, not a concession.</w:t>
      </w:r>
    </w:p>
    <w:p>
      <w:pPr>
        <w:pStyle w:val="ListBullet"/>
      </w:pPr>
      <w:r>
        <w:rPr>
          <w:b/>
        </w:rPr>
        <w:t>Residual:</w:t>
      </w:r>
      <w:r>
        <w:t xml:space="preserve"> None material — this is a design strength.</w:t>
      </w:r>
    </w:p>
    <w:p>
      <w:pPr>
        <w:pStyle w:val="Heading3"/>
      </w:pPr>
      <w:r>
        <w:rPr>
          <w:color w:val="CC0000"/>
        </w:rPr>
        <w:t>R9 — Hallucinated answers / grounding gaps</w:t>
      </w:r>
    </w:p>
    <w:p>
      <w:pPr>
        <w:pStyle w:val="ListBullet"/>
      </w:pPr>
      <w:r>
        <w:rPr>
          <w:b/>
        </w:rPr>
        <w:t>Impact:</w:t>
      </w:r>
      <w:r>
        <w:t xml:space="preserve"> High. The model answers beyond its evidence.</w:t>
      </w:r>
    </w:p>
    <w:p>
      <w:pPr>
        <w:pStyle w:val="ListBullet"/>
      </w:pPr>
      <w:r>
        <w:rPr>
          <w:b/>
        </w:rPr>
        <w:t>Mitigation:</w:t>
      </w:r>
      <w:r>
        <w:t xml:space="preserve"> Retrieval-grounded prompts ("use ONLY provided context; cite sources; if insufficient, say so"); source-citation chips; numeric verifier re-executes calculations; refusal on insufficient context.</w:t>
      </w:r>
    </w:p>
    <w:p>
      <w:pPr>
        <w:pStyle w:val="ListBullet"/>
      </w:pPr>
      <w:r>
        <w:rPr>
          <w:b/>
        </w:rPr>
        <w:t>Residual:</w:t>
      </w:r>
      <w:r>
        <w:t xml:space="preserve"> Prompt/grounding tuning per corpus — ongoing, measured by audit pass rate.</w:t>
      </w:r>
    </w:p>
    <w:p>
      <w:pPr>
        <w:pStyle w:val="Heading3"/>
      </w:pPr>
      <w:r>
        <w:rPr>
          <w:color w:val="CC0000"/>
        </w:rPr>
        <w:t>R10 — Data freshness / staleness</w:t>
      </w:r>
    </w:p>
    <w:p>
      <w:pPr>
        <w:pStyle w:val="ListBullet"/>
      </w:pPr>
      <w:r>
        <w:rPr>
          <w:b/>
        </w:rPr>
        <w:t>Impact:</w:t>
      </w:r>
      <w:r>
        <w:t xml:space="preserve"> Medium. Answers grounded on stale anchors mislead.</w:t>
      </w:r>
    </w:p>
    <w:p>
      <w:pPr>
        <w:pStyle w:val="ListBullet"/>
      </w:pPr>
      <w:r>
        <w:rPr>
          <w:b/>
        </w:rPr>
        <w:t>Mitigation:</w:t>
      </w:r>
      <w:r>
        <w:t xml:space="preserve"> Hygiene Pipeline with scheduled refresh, health probes (skip + alert on slow OnBase), multi-version anchors with timestamps; freshness surfaced to the user. (Document 9.)</w:t>
      </w:r>
    </w:p>
    <w:p>
      <w:pPr>
        <w:pStyle w:val="ListBullet"/>
      </w:pPr>
      <w:r>
        <w:rPr>
          <w:b/>
        </w:rPr>
        <w:t>Residual:</w:t>
      </w:r>
      <w:r>
        <w:t xml:space="preserve"> Cadence tuning per source against OnBase load.</w:t>
      </w:r>
    </w:p>
    <w:p>
      <w:pPr>
        <w:pStyle w:val="Heading3"/>
      </w:pPr>
      <w:r>
        <w:rPr>
          <w:color w:val="CC0000"/>
        </w:rPr>
        <w:t>R11 — Scale &amp; performance (2,300+ tables, large corpora)</w:t>
      </w:r>
    </w:p>
    <w:p>
      <w:pPr>
        <w:pStyle w:val="ListBullet"/>
      </w:pPr>
      <w:r>
        <w:rPr>
          <w:b/>
        </w:rPr>
        <w:t>Impact:</w:t>
      </w:r>
      <w:r>
        <w:t xml:space="preserve"> Medium. Index build and retrieval latency at institutional scale.</w:t>
      </w:r>
    </w:p>
    <w:p>
      <w:pPr>
        <w:pStyle w:val="ListBullet"/>
      </w:pPr>
      <w:r>
        <w:rPr>
          <w:b/>
        </w:rPr>
        <w:t>Mitigation:</w:t>
      </w:r>
      <w:r>
        <w:t xml:space="preserve"> pgvector with SQL filtering; per-corpus collections; caching/rate-limiting (Valkey pattern); incremental updates; nightly publisher to cut source load.</w:t>
      </w:r>
    </w:p>
    <w:p>
      <w:pPr>
        <w:pStyle w:val="ListBullet"/>
      </w:pPr>
      <w:r>
        <w:rPr>
          <w:b/>
        </w:rPr>
        <w:t>Residual:</w:t>
      </w:r>
      <w:r>
        <w:t xml:space="preserve"> Capacity sizing during the pilot.</w:t>
      </w:r>
    </w:p>
    <w:p>
      <w:pPr>
        <w:pStyle w:val="Heading3"/>
      </w:pPr>
      <w:r>
        <w:rPr>
          <w:color w:val="CC0000"/>
        </w:rPr>
        <w:t>R12 — Neophyte over-trust (the human factor)</w:t>
      </w:r>
    </w:p>
    <w:p>
      <w:pPr>
        <w:pStyle w:val="ListBullet"/>
      </w:pPr>
      <w:r>
        <w:rPr>
          <w:b/>
        </w:rPr>
        <w:t>Impact:</w:t>
      </w:r>
      <w:r>
        <w:t xml:space="preserve"> High and often overlooked. The most dangerous failure is a </w:t>
      </w:r>
      <w:r>
        <w:rPr>
          <w:i/>
        </w:rPr>
        <w:t>believable</w:t>
      </w:r>
      <w:r>
        <w:t xml:space="preserve"> wrong answer.</w:t>
      </w:r>
    </w:p>
    <w:p>
      <w:pPr>
        <w:pStyle w:val="ListBullet"/>
      </w:pPr>
      <w:r>
        <w:rPr>
          <w:b/>
        </w:rPr>
        <w:t>Mitigation:</w:t>
      </w:r>
      <w:r>
        <w:t xml:space="preserve"> UI makes </w:t>
      </w:r>
      <w:r>
        <w:rPr>
          <w:b/>
        </w:rPr>
        <w:t>sanctioned vs inferred visible</w:t>
      </w:r>
      <w:r>
        <w:t xml:space="preserve">; confidence and boundaries shown; "searched N sources" transparency; every claim links to provenance. The product is designed to </w:t>
      </w:r>
      <w:r>
        <w:rPr>
          <w:i/>
        </w:rPr>
        <w:t>protect the non-expert</w:t>
      </w:r>
      <w:r>
        <w:t>, not impress them.</w:t>
      </w:r>
    </w:p>
    <w:p>
      <w:pPr>
        <w:pStyle w:val="ListBullet"/>
      </w:pPr>
      <w:r>
        <w:rPr>
          <w:b/>
        </w:rPr>
        <w:t>Residual:</w:t>
      </w:r>
      <w:r>
        <w:t xml:space="preserve"> Training/onboarding for end users; an explicit "how to read an answer" guide.</w:t>
      </w:r>
    </w:p>
    <w:p>
      <w:pPr>
        <w:pStyle w:val="Heading3"/>
      </w:pPr>
      <w:r>
        <w:rPr>
          <w:color w:val="CC0000"/>
        </w:rPr>
        <w:t>R13 — Coordination &amp; credentials with BU's REST POC team</w:t>
      </w:r>
    </w:p>
    <w:p>
      <w:pPr>
        <w:pStyle w:val="ListBullet"/>
      </w:pPr>
      <w:r>
        <w:rPr>
          <w:b/>
        </w:rPr>
        <w:t>Impact:</w:t>
      </w:r>
      <w:r>
        <w:t xml:space="preserve"> Medium. Two teams on the same Hyland API; no contact/credentials = stall.</w:t>
      </w:r>
    </w:p>
    <w:p>
      <w:pPr>
        <w:pStyle w:val="ListBullet"/>
      </w:pPr>
      <w:r>
        <w:rPr>
          <w:b/>
        </w:rPr>
        <w:t>Mitigation:</w:t>
      </w:r>
      <w:r>
        <w:t xml:space="preserve"> "Coordinate, don't integrate" model; one shared IT credential request; clear ownership split (BU owns DocType inventory + credentials; CogniBase owns the OnBase domain layer). (Document 16.)</w:t>
      </w:r>
    </w:p>
    <w:p>
      <w:pPr>
        <w:pStyle w:val="ListBullet"/>
      </w:pPr>
      <w:r>
        <w:rPr>
          <w:b/>
        </w:rPr>
        <w:t>Residual:</w:t>
      </w:r>
      <w:r>
        <w:t xml:space="preserve"> Depends on BU naming a sponsor and issuing credentials — the gating signal.</w:t>
      </w:r>
    </w:p>
    <w:p>
      <w:pPr>
        <w:pStyle w:val="Heading3"/>
      </w:pPr>
      <w:r>
        <w:rPr>
          <w:color w:val="CC0000"/>
        </w:rPr>
        <w:t>R14 — LLM cost governance</w:t>
      </w:r>
    </w:p>
    <w:p>
      <w:pPr>
        <w:pStyle w:val="ListBullet"/>
      </w:pPr>
      <w:r>
        <w:rPr>
          <w:b/>
        </w:rPr>
        <w:t>Impact:</w:t>
      </w:r>
      <w:r>
        <w:t xml:space="preserve"> Low–Medium. Uncontrolled model spend.</w:t>
      </w:r>
    </w:p>
    <w:p>
      <w:pPr>
        <w:pStyle w:val="ListBullet"/>
      </w:pPr>
      <w:r>
        <w:rPr>
          <w:b/>
        </w:rPr>
        <w:t>Mitigation:</w:t>
      </w:r>
      <w:r>
        <w:t xml:space="preserve"> Curated heterogeneity — route cheap/local models for routine work, frontier only when needed; token/latency metrics per conversation; cost transparency. (Document 12.)</w:t>
      </w:r>
    </w:p>
    <w:p>
      <w:pPr>
        <w:pStyle w:val="ListBullet"/>
      </w:pPr>
      <w:r>
        <w:rPr>
          <w:b/>
        </w:rPr>
        <w:t>Residual:</w:t>
      </w:r>
      <w:r>
        <w:t xml:space="preserve"> Budget thresholds set with BU.</w:t>
      </w:r>
    </w:p>
    <w:p>
      <w:pPr>
        <w:pStyle w:val="Heading3"/>
      </w:pPr>
      <w:r>
        <w:rPr>
          <w:color w:val="CC0000"/>
        </w:rPr>
        <w:t>R15 — Miscalibrated confidence &amp; feedback poisoning</w:t>
      </w:r>
    </w:p>
    <w:p>
      <w:pPr>
        <w:pStyle w:val="ListBullet"/>
      </w:pPr>
      <w:r>
        <w:rPr>
          <w:b/>
        </w:rPr>
        <w:t>Impact:</w:t>
      </w:r>
      <w:r>
        <w:t xml:space="preserve"> High. Using the model’s self-confidence as a review gate (it is uncalibrated), or letting user corrections auto-learn, can teach the system falsehoods at scale.</w:t>
      </w:r>
    </w:p>
    <w:p>
      <w:pPr>
        <w:pStyle w:val="ListBullet"/>
      </w:pPr>
      <w:r>
        <w:rPr>
          <w:b/>
        </w:rPr>
        <w:t>Mitigation:</w:t>
      </w:r>
      <w:r>
        <w:t xml:space="preserve"> Evidence-based confidence (not LLM self-confidence); corrections are </w:t>
      </w:r>
      <w:r>
        <w:rPr>
          <w:b/>
        </w:rPr>
        <w:t>steward-ratified proposals</w:t>
      </w:r>
      <w:r>
        <w:t xml:space="preserve">, not auto-absorbed; feedback authority tracks stewardship; thresholds change only on measured calibration and auto-tighten on drift. </w:t>
      </w:r>
      <w:r>
        <w:rPr>
          <w:b/>
        </w:rPr>
        <w:t>Full treatment in Document 17.</w:t>
      </w:r>
    </w:p>
    <w:p>
      <w:pPr>
        <w:pStyle w:val="ListBullet"/>
      </w:pPr>
      <w:r>
        <w:rPr>
          <w:b/>
        </w:rPr>
        <w:t>Residual:</w:t>
      </w:r>
      <w:r>
        <w:t xml:space="preserve"> Calibration must be measured per area before autonomy is raised.</w:t>
      </w:r>
    </w:p>
    <w:p>
      <w:pPr>
        <w:pStyle w:val="Heading2"/>
      </w:pPr>
      <w:r>
        <w:rPr>
          <w:color w:val="CC0000"/>
        </w:rPr>
        <w:t>3. Risk posture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Risks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Net position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R1 (false correlation), R4 (FERPA PII)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Addressed by the trust layer (Doc 2) + corpus separation/Privacy Transformer — the core of the design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R2, R3, R5, R9, R12, R15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Mechanisms exist; pilot retires the residuals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R6, R7, R8, R10, R11, R13, R14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Engineering + coordination, low conceptual risk</w:t>
            </w:r>
          </w:p>
        </w:tc>
      </w:tr>
    </w:tbl>
    <w:p/>
    <w:p>
      <w:r>
        <w:t xml:space="preserve">The pattern is deliberate: </w:t>
      </w:r>
      <w:r>
        <w:rPr>
          <w:b/>
        </w:rPr>
        <w:t>the two Critical risks are exactly the two CogniBase was architected to solve</w:t>
      </w:r>
      <w:r>
        <w:t xml:space="preserve"> (governed correlation and corpus/PII separation). The remaining risks are the ordinary work of taking a capable system to institutional grade — which is what the pilot is for.</w:t>
      </w:r>
    </w:p>
    <w:p>
      <w:pPr>
        <w:pStyle w:val="Heading2"/>
      </w:pPr>
      <w:r>
        <w:rPr>
          <w:color w:val="CC0000"/>
        </w:rPr>
        <w:t>4. What would make us pause</w:t>
      </w:r>
    </w:p>
    <w:p>
      <w:r>
        <w:t xml:space="preserve">Honest engagement means naming the conditions under which CogniBase should </w:t>
      </w:r>
      <w:r>
        <w:rPr>
          <w:i/>
        </w:rPr>
        <w:t>not</w:t>
      </w:r>
      <w:r>
        <w:t xml:space="preserve"> proceed: no named data steward (the ontology needs an owner); a mandate to ingest HIPAA/PCI into the lake (out of policy); or a requirement to assert cross-source relationships without sanctioned keys (the one thing the design refuses to do). Each of these is a conversation, not a workaround.</w:t>
      </w:r>
    </w:p>
    <w:p>
      <w:pPr>
        <w:ind w:left="432"/>
      </w:pPr>
      <w:r>
        <w:rPr>
          <w:i/>
          <w:color w:val="606060"/>
        </w:rPr>
        <w:t>Cross-references: Document 2 (ontology), Document 6 (corpus), Document 7 (access/Gates→OPA), Document 8 (federation), Document 10 (provenance/audit/FERPA), Document 13 (deployment/licensing), Document 16 (coordination/pilot).</w:t>
      </w:r>
    </w:p>
    <w:p>
      <w:r>
        <w:rPr>
          <w:i/>
        </w:rPr>
        <w:t>Document 3 of 18 · Frame A (BU-vision-led) · CogniBase BU-Aligned Library v2 · generated 2026-06-28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CogniBase — BU-Aligned Document Library</dc:title>
  <dc:subject/>
  <dc:creator>Renne Santiago</dc:creator>
  <cp:keywords/>
  <dc:description>generated by python-docx</dc:description>
  <cp:lastModifiedBy>Renne Santiago</cp:lastModifiedBy>
  <cp:revision>1</cp:revision>
  <dcterms:created xsi:type="dcterms:W3CDTF">2013-12-23T23:15:00Z</dcterms:created>
  <dcterms:modified xsi:type="dcterms:W3CDTF">2013-12-23T23:15:00Z</dcterms:modified>
  <cp:category>Authored by Renne Santiago</cp:category>
</cp:coreProperties>
</file>