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Access Model: Deny-by-Default &amp; Gates → OPA</w:t>
      </w:r>
    </w:p>
    <w:p>
      <w:r>
        <w:rPr>
          <w:i/>
        </w:rPr>
        <w:t>Document 7 of 18 · BU-Aligned Library v2 · Renne Santiago</w:t>
      </w:r>
    </w:p>
    <w:p>
      <w:pPr>
        <w:pStyle w:val="Heading2"/>
      </w:pPr>
      <w:r>
        <w:rPr>
          <w:color w:val="CC0000"/>
        </w:rPr>
        <w:t>1. Principle</w:t>
      </w:r>
    </w:p>
    <w:p>
      <w:r>
        <w:t xml:space="preserve">Every layer adds intent, and </w:t>
      </w:r>
      <w:r>
        <w:rPr>
          <w:b/>
        </w:rPr>
        <w:t>deny-by-default</w:t>
      </w:r>
      <w:r>
        <w:t xml:space="preserve"> is the rule whenever a layer is silent. The model is stacked so that "not explicitly allowed" always means "denied" — the posture BU enforces platform-wide with OPA.</w:t>
      </w:r>
    </w:p>
    <w:p>
      <w:r>
        <w:rPr>
          <w:rFonts w:ascii="Consolas" w:hAnsi="Consolas"/>
          <w:sz w:val="17"/>
        </w:rPr>
        <w:t>Layer 5 — Privacy Transformer    (what the output may look like)</w:t>
        <w:br/>
        <w:t>Layer 4 — Cross-Reference Gate   (who, where, how — policy)</w:t>
        <w:br/>
        <w:t>Layer 3 — CrossLink              (which DocTypes may join — admin intent)</w:t>
        <w:br/>
        <w:t>Layer 2 — Normalizer             (which keywords are the same — equivalence)</w:t>
        <w:br/>
        <w:t>Layer 1 — DocType Constraint     (respect the .expk grouping — default)</w:t>
      </w:r>
    </w:p>
    <w:p>
      <w:pPr>
        <w:pStyle w:val="Heading2"/>
      </w:pPr>
      <w:r>
        <w:rPr>
          <w:color w:val="CC0000"/>
        </w:rPr>
        <w:t>2. The five layers</w:t>
      </w:r>
    </w:p>
    <w:p>
      <w:r>
        <w:t xml:space="preserve">1. </w:t>
      </w:r>
      <w:r>
        <w:rPr>
          <w:b/>
        </w:rPr>
        <w:t>DocType Constraint</w:t>
      </w:r>
      <w:r>
        <w:t xml:space="preserve"> — on </w:t>
      </w:r>
      <w:r>
        <w:rPr>
          <w:rFonts w:ascii="Consolas" w:hAnsi="Consolas"/>
          <w:sz w:val="19"/>
        </w:rPr>
        <w:t>.expk</w:t>
      </w:r>
      <w:r>
        <w:t xml:space="preserve"> import, OnBase's grouping is honored as-is; no cross-cuts unless authorized above.</w:t>
      </w:r>
    </w:p>
    <w:p>
      <w:r>
        <w:t xml:space="preserve">2. </w:t>
      </w:r>
      <w:r>
        <w:rPr>
          <w:b/>
        </w:rPr>
        <w:t>Normalizer</w:t>
      </w:r>
      <w:r>
        <w:t xml:space="preserve"> — declares semantic equivalence (</w:t>
      </w:r>
      <w:r>
        <w:rPr>
          <w:rFonts w:ascii="Consolas" w:hAnsi="Consolas"/>
          <w:sz w:val="19"/>
        </w:rPr>
        <w:t>AP_Name ≡ HR_Name ≡ OAD_Name → canonical:PersonName</w:t>
      </w:r>
      <w:r>
        <w:t xml:space="preserve">); auto-discovered, </w:t>
      </w:r>
      <w:r>
        <w:rPr>
          <w:b/>
        </w:rPr>
        <w:t>admin-confirmed</w:t>
      </w:r>
      <w:r>
        <w:t>, or Excel-uploaded. This is where "are these the same entity?" is answered by a vetted rule, not a guess (Document 2).</w:t>
      </w:r>
    </w:p>
    <w:p>
      <w:r>
        <w:t xml:space="preserve">3. </w:t>
      </w:r>
      <w:r>
        <w:rPr>
          <w:b/>
        </w:rPr>
        <w:t>CrossLink</w:t>
      </w:r>
      <w:r>
        <w:t xml:space="preserve"> — admin-vetted joins between DocTypes (CogniBase's Normalizer-aware Custom Query); may reuse existing OnBase Custom Queries by ID.</w:t>
      </w:r>
    </w:p>
    <w:p>
      <w:r>
        <w:t xml:space="preserve">4. </w:t>
      </w:r>
      <w:r>
        <w:rPr>
          <w:b/>
        </w:rPr>
        <w:t>Cross-Reference Gate</w:t>
      </w:r>
      <w:r>
        <w:t xml:space="preserve"> — per CogniBase Group, per perimeter (User vs AI), declaring </w:t>
      </w:r>
      <w:r>
        <w:rPr>
          <w:rFonts w:ascii="Consolas" w:hAnsi="Consolas"/>
          <w:sz w:val="19"/>
        </w:rPr>
        <w:t>source</w:t>
      </w:r>
      <w:r>
        <w:t xml:space="preserve"> (lake / live_rest / hybrid / deny) and </w:t>
      </w:r>
      <w:r>
        <w:rPr>
          <w:rFonts w:ascii="Consolas" w:hAnsi="Consolas"/>
          <w:sz w:val="19"/>
        </w:rPr>
        <w:t>transform</w:t>
      </w:r>
      <w:r>
        <w:t xml:space="preserve"> (raw / anonymize / aggregate_only / deny), with field-level overrides.</w:t>
      </w:r>
    </w:p>
    <w:p>
      <w:r>
        <w:t xml:space="preserve">5. </w:t>
      </w:r>
      <w:r>
        <w:rPr>
          <w:b/>
        </w:rPr>
        <w:t>Privacy Transformer</w:t>
      </w:r>
      <w:r>
        <w:t xml:space="preserve"> — k-anonymity (k≥5 floor), pseudonymization, generalization, suppression on results </w:t>
      </w:r>
      <w:r>
        <w:rPr>
          <w:b/>
        </w:rPr>
        <w:t>before</w:t>
      </w:r>
      <w:r>
        <w:t xml:space="preserve"> they reach LLM context or the user.</w:t>
      </w:r>
    </w:p>
    <w:p>
      <w:pPr>
        <w:pStyle w:val="Heading2"/>
      </w:pPr>
      <w:r>
        <w:rPr>
          <w:color w:val="CC0000"/>
        </w:rPr>
        <w:t>3. Mapping to BU: Gates → OPA, Groups → Entra</w:t>
      </w:r>
    </w:p>
    <w:p>
      <w:pPr>
        <w:pStyle w:val="ListBullet"/>
      </w:pPr>
      <w:r>
        <w:rPr>
          <w:b/>
        </w:rPr>
        <w:t>Gates as OPA policy.</w:t>
      </w:r>
      <w:r>
        <w:t xml:space="preserve"> Each Gate is expressible as a declarative Rego policy, so access decisions are externally auditable and enforced by BU's own engine rather than bespoke code — policy decoupled from application.</w:t>
      </w:r>
    </w:p>
    <w:p>
      <w:pPr>
        <w:pStyle w:val="ListBullet"/>
      </w:pPr>
      <w:r>
        <w:rPr>
          <w:b/>
        </w:rPr>
        <w:t>CogniBase Groups ↔ Entra ID.</w:t>
      </w:r>
      <w:r>
        <w:t xml:space="preserve"> Groups are decoupled from AD and bound to </w:t>
      </w:r>
      <w:r>
        <w:rPr>
          <w:b/>
        </w:rPr>
        <w:t>Entra ID</w:t>
      </w:r>
      <w:r>
        <w:t xml:space="preserve"> identities (MSAL PKCE), giving per-user isolation and identity-aware access. CogniBase </w:t>
      </w:r>
      <w:r>
        <w:rPr>
          <w:b/>
        </w:rPr>
        <w:t>cannot bypass OnBase ACLs</w:t>
      </w:r>
      <w:r>
        <w:t xml:space="preserve"> — OnBase OAuth/identity passthrough is authoritative.</w:t>
      </w:r>
    </w:p>
    <w:p>
      <w:pPr>
        <w:pStyle w:val="ListBullet"/>
      </w:pPr>
      <w:r>
        <w:rPr>
          <w:b/>
        </w:rPr>
        <w:t>Audit.</w:t>
      </w:r>
      <w:r>
        <w:t xml:space="preserve"> Every layer decision (allow/deny/transform) is written to the L1–L4 trail (Document 10) and can ship to BU's audit sinks.</w:t>
      </w:r>
    </w:p>
    <w:p>
      <w:pPr>
        <w:pStyle w:val="Heading3"/>
      </w:pPr>
      <w:r>
        <w:rPr>
          <w:color w:val="CC0000"/>
        </w:rPr>
        <w:t>Feedback authority &amp; learned items</w:t>
      </w:r>
    </w:p>
    <w:p>
      <w:r>
        <w:t xml:space="preserve">Corrections enter the access model as </w:t>
      </w:r>
      <w:r>
        <w:rPr>
          <w:b/>
        </w:rPr>
        <w:t>governed proposals</w:t>
      </w:r>
      <w:r>
        <w:t xml:space="preserve">: anyone with access to an area’s data may </w:t>
      </w:r>
      <w:r>
        <w:rPr>
          <w:b/>
        </w:rPr>
        <w:t>flag</w:t>
      </w:r>
      <w:r>
        <w:t xml:space="preserve">, but only a designated </w:t>
      </w:r>
      <w:r>
        <w:rPr>
          <w:b/>
        </w:rPr>
        <w:t>domain steward</w:t>
      </w:r>
      <w:r>
        <w:t xml:space="preserve"> may </w:t>
      </w:r>
      <w:r>
        <w:rPr>
          <w:b/>
        </w:rPr>
        <w:t>ratify</w:t>
      </w:r>
      <w:r>
        <w:t xml:space="preserve"> a correction into a sanctioned Normalizer/CrossLink. Ratified items carry provenance and re-enter via the Hygiene Pipeline (Document 9). Authority tracks </w:t>
      </w:r>
      <w:r>
        <w:rPr>
          <w:b/>
        </w:rPr>
        <w:t>stewardship, not mere data access</w:t>
      </w:r>
      <w:r>
        <w:t xml:space="preserve"> — the operational rule behind the learning loop (Document 17).</w:t>
      </w:r>
    </w:p>
    <w:p>
      <w:pPr>
        <w:pStyle w:val="Heading2"/>
      </w:pPr>
      <w:r>
        <w:rPr>
          <w:color w:val="CC0000"/>
        </w:rPr>
        <w:t>4. Why this matters for trust</w:t>
      </w:r>
    </w:p>
    <w:p>
      <w:r>
        <w:t xml:space="preserve">The access model is not only a security control — it is half of the </w:t>
      </w:r>
      <w:r>
        <w:rPr>
          <w:b/>
        </w:rPr>
        <w:t>anti-fabrication</w:t>
      </w:r>
      <w:r>
        <w:t xml:space="preserve"> design. Layers 2–3 decide </w:t>
      </w:r>
      <w:r>
        <w:rPr>
          <w:i/>
        </w:rPr>
        <w:t>whether two things may be related at all</w:t>
      </w:r>
      <w:r>
        <w:t xml:space="preserve">; Layers 4–5 decide </w:t>
      </w:r>
      <w:r>
        <w:rPr>
          <w:i/>
        </w:rPr>
        <w:t>what may be shown</w:t>
      </w:r>
      <w:r>
        <w:t>. Together they ensure the agent can neither invent a relationship nor over-disclose one. Security and truthfulness are enforced by the same stack.</w:t>
      </w:r>
    </w:p>
    <w:p>
      <w:pPr>
        <w:ind w:left="432"/>
      </w:pPr>
      <w:r>
        <w:rPr>
          <w:i/>
          <w:color w:val="606060"/>
        </w:rPr>
        <w:t xml:space="preserve">Deny-by-default is the quiet backbone of institutional trust: the system's default answer to "can these connect / can this be shown?" is </w:t>
      </w:r>
      <w:r>
        <w:rPr>
          <w:b/>
          <w:i/>
          <w:color w:val="606060"/>
        </w:rPr>
        <w:t>no</w:t>
      </w:r>
      <w:r>
        <w:rPr>
          <w:i/>
          <w:color w:val="606060"/>
        </w:rPr>
        <w:t>, until a named owner says yes.</w:t>
      </w:r>
    </w:p>
    <w:p>
      <w:r>
        <w:rPr>
          <w:i/>
        </w:rPr>
        <w:t>Document 7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