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Provenance, Verification, Audit &amp; FERPA</w:t>
      </w:r>
    </w:p>
    <w:p>
      <w:r>
        <w:rPr>
          <w:i/>
        </w:rPr>
        <w:t>Document 10 of 18 · BU-Aligned Library v2 · Renne Santiago</w:t>
      </w:r>
    </w:p>
    <w:p>
      <w:pPr>
        <w:pStyle w:val="Heading2"/>
      </w:pPr>
      <w:r>
        <w:rPr>
          <w:color w:val="CC0000"/>
        </w:rPr>
        <w:t>1. The promise</w:t>
      </w:r>
    </w:p>
    <w:p>
      <w:r>
        <w:t xml:space="preserve">Every number CogniBase reports can answer three questions: </w:t>
      </w:r>
      <w:r>
        <w:rPr>
          <w:b/>
        </w:rPr>
        <w:t>Where did this come from? How was it computed? Who was allowed to see it?</w:t>
      </w:r>
      <w:r>
        <w:t xml:space="preserve"> An auditor must be able to reconstruct any claim without the original author present. This is the difference between an analysis BU can act on and one it merely admires.</w:t>
      </w:r>
    </w:p>
    <w:p>
      <w:pPr>
        <w:pStyle w:val="Heading2"/>
      </w:pPr>
      <w:r>
        <w:rPr>
          <w:color w:val="CC0000"/>
        </w:rPr>
        <w:t>2. The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Provenance tagging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record carries "where did this number come from" — source, anchor, version, retrieval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Sanctioned-join citation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cross-source claim cites the CrossLink/Normalizer that authorized it (Document 2/8)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Numeric verifier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Re-executes every numeric claim before it ships; mismatch → flag, not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 trail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report ships with an audit folder an auditor can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Gate decision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allow/deny/transform recorded with the policy that decided it</w:t>
            </w:r>
          </w:p>
        </w:tc>
      </w:tr>
    </w:tbl>
    <w:p/>
    <w:p>
      <w:pPr>
        <w:pStyle w:val="Heading2"/>
      </w:pPr>
      <w:r>
        <w:rPr>
          <w:color w:val="CC0000"/>
        </w:rPr>
        <w:t>3. Audit levels (L1–L4)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answer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text + citations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retrieval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Which chunks/anchors, which scores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Sub-queries, joins, the verifier's recomputation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 decisions, identity, transforms applied</w:t>
            </w:r>
          </w:p>
        </w:tc>
      </w:tr>
    </w:tbl>
    <w:p/>
    <w:p>
      <w:r>
        <w:t xml:space="preserve">An auditor descends from L1 to L4 to fully reconstruct </w:t>
      </w:r>
      <w:r>
        <w:rPr>
          <w:i/>
        </w:rPr>
        <w:t>why the system said what it said.</w:t>
      </w:r>
    </w:p>
    <w:p>
      <w:pPr>
        <w:pStyle w:val="Heading2"/>
      </w:pPr>
      <w:r>
        <w:rPr>
          <w:color w:val="CC0000"/>
        </w:rPr>
        <w:t>4. Audit folder layout</w:t>
      </w:r>
    </w:p>
    <w:p>
      <w:r>
        <w:t>Each report writes a self-contained folder: the answer, the cited sources, the federation plan, the verifier's recomputation, and the gate/identity record — a portable, plain-file evidence package (no lock-in).</w:t>
      </w:r>
    </w:p>
    <w:p>
      <w:pPr>
        <w:pStyle w:val="Heading2"/>
      </w:pPr>
      <w:r>
        <w:rPr>
          <w:color w:val="CC0000"/>
        </w:rPr>
        <w:t>5. FERPA &amp; data classification (folded in)</w:t>
      </w:r>
    </w:p>
    <w:p>
      <w:pPr>
        <w:pStyle w:val="ListBullet"/>
      </w:pPr>
      <w:r>
        <w:rPr>
          <w:b/>
        </w:rPr>
        <w:t>No HIPAA/PCI ingestion</w:t>
      </w:r>
      <w:r>
        <w:t>, by policy.</w:t>
      </w:r>
    </w:p>
    <w:p>
      <w:pPr>
        <w:pStyle w:val="ListBullet"/>
      </w:pPr>
      <w:r>
        <w:rPr>
          <w:b/>
        </w:rPr>
        <w:t>FERPA-classified access is audit-trailed</w:t>
      </w:r>
      <w:r>
        <w:t xml:space="preserve">; transcript/education-record </w:t>
      </w:r>
      <w:r>
        <w:rPr>
          <w:i/>
        </w:rPr>
        <w:t>content</w:t>
      </w:r>
      <w:r>
        <w:t xml:space="preserve"> is gated — existence/counts may be returned, content only under explicitly raised policy with a recorded agreement.</w:t>
      </w:r>
    </w:p>
    <w:p>
      <w:pPr>
        <w:pStyle w:val="ListBullet"/>
      </w:pPr>
      <w:r>
        <w:rPr>
          <w:b/>
        </w:rPr>
        <w:t>Privacy Transformer</w:t>
      </w:r>
      <w:r>
        <w:t xml:space="preserve"> (k-anonymity floor, masking, suppression) runs before any result reaches the model or user.</w:t>
      </w:r>
    </w:p>
    <w:p>
      <w:pPr>
        <w:pStyle w:val="ListBullet"/>
      </w:pPr>
      <w:r>
        <w:t xml:space="preserve">Identity is </w:t>
      </w:r>
      <w:r>
        <w:rPr>
          <w:b/>
        </w:rPr>
        <w:t>Entra ID</w:t>
      </w:r>
      <w:r>
        <w:t>; CogniBase honors OnBase ACLs (cannot over-disclose).</w:t>
      </w:r>
    </w:p>
    <w:p>
      <w:pPr>
        <w:pStyle w:val="Heading3"/>
      </w:pPr>
      <w:r>
        <w:rPr>
          <w:color w:val="CC0000"/>
        </w:rPr>
        <w:t>Provenance of corrections &amp; confidence calibration</w:t>
      </w:r>
    </w:p>
    <w:p>
      <w:r>
        <w:t xml:space="preserve">Every learned item records </w:t>
      </w:r>
      <w:r>
        <w:rPr>
          <w:b/>
        </w:rPr>
        <w:t>who proposed it, who ratified it, when, and on what evidence</w:t>
      </w:r>
      <w:r>
        <w:t xml:space="preserve"> — corrections are first-class audited events. Audit also tracks </w:t>
      </w:r>
      <w:r>
        <w:rPr>
          <w:b/>
        </w:rPr>
        <w:t>confidence calibration per area</w:t>
      </w:r>
      <w:r>
        <w:t xml:space="preserve"> (does a band mean what it claims?) and </w:t>
      </w:r>
      <w:r>
        <w:rPr>
          <w:b/>
        </w:rPr>
        <w:t>threshold-change events</w:t>
      </w:r>
      <w:r>
        <w:t>, so raising an area’s autonomy is itself an auditable, reversible decision (Document 17).</w:t>
      </w:r>
    </w:p>
    <w:p>
      <w:pPr>
        <w:pStyle w:val="Heading2"/>
      </w:pPr>
      <w:r>
        <w:rPr>
          <w:color w:val="CC0000"/>
        </w:rPr>
        <w:t>6. Open choices (for BU)</w:t>
      </w:r>
    </w:p>
    <w:p>
      <w:pPr>
        <w:pStyle w:val="ListBullet"/>
      </w:pPr>
      <w:r>
        <w:rPr>
          <w:b/>
        </w:rPr>
        <w:t>Tolerance bands</w:t>
      </w:r>
      <w:r>
        <w:t xml:space="preserve"> for numeric verification — exact / ±0.01 / ±1% tiers vs. BU's audit context.</w:t>
      </w:r>
    </w:p>
    <w:p>
      <w:pPr>
        <w:pStyle w:val="ListBullet"/>
      </w:pPr>
      <w:r>
        <w:rPr>
          <w:b/>
        </w:rPr>
        <w:t>Retention</w:t>
      </w:r>
      <w:r>
        <w:t xml:space="preserve"> — how long audit folders live (tied to report / compliance period / indefinite).</w:t>
      </w:r>
    </w:p>
    <w:p>
      <w:pPr>
        <w:pStyle w:val="ListBullet"/>
      </w:pPr>
      <w:r>
        <w:rPr>
          <w:b/>
        </w:rPr>
        <w:t>Cross-report audit search</w:t>
      </w:r>
      <w:r>
        <w:t xml:space="preserve"> — "show every 2026 report that used anchor X" (future).</w:t>
      </w:r>
    </w:p>
    <w:p>
      <w:pPr>
        <w:pStyle w:val="ListBullet"/>
      </w:pPr>
      <w:r>
        <w:rPr>
          <w:b/>
        </w:rPr>
        <w:t>Audit-sink integration</w:t>
      </w:r>
      <w:r>
        <w:t xml:space="preserve"> — ship L1–L4 events to BU's </w:t>
      </w:r>
      <w:r>
        <w:rPr>
          <w:b/>
        </w:rPr>
        <w:t>Vector → Loki/Mimir/Tempo</w:t>
      </w:r>
      <w:r>
        <w:t xml:space="preserve"> stack via OTLP for institution-wide observability.</w:t>
      </w:r>
    </w:p>
    <w:p>
      <w:pPr>
        <w:ind w:left="432"/>
      </w:pPr>
      <w:r>
        <w:rPr>
          <w:i/>
          <w:color w:val="606060"/>
        </w:rPr>
        <w:t xml:space="preserve">Provenance is not paperwork — it is the mechanism that makes a </w:t>
      </w:r>
      <w:r>
        <w:rPr>
          <w:i/>
          <w:color w:val="606060"/>
        </w:rPr>
        <w:t>believable</w:t>
      </w:r>
      <w:r>
        <w:rPr>
          <w:i/>
          <w:color w:val="606060"/>
        </w:rPr>
        <w:t xml:space="preserve"> answer also a </w:t>
      </w:r>
      <w:r>
        <w:rPr>
          <w:i/>
          <w:color w:val="606060"/>
        </w:rPr>
        <w:t>verifiable</w:t>
      </w:r>
      <w:r>
        <w:rPr>
          <w:i/>
          <w:color w:val="606060"/>
        </w:rPr>
        <w:t xml:space="preserve"> one, which is the whole point at an institution under FERPA.</w:t>
      </w:r>
    </w:p>
    <w:p>
      <w:r>
        <w:rPr>
          <w:i/>
        </w:rPr>
        <w:t>Document 10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