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  <w:sz w:val="40"/>
        </w:rPr>
        <w:t>CogniBase — Platform Integration: MCP &amp; Nexus</w:t>
      </w:r>
    </w:p>
    <w:p>
      <w:r>
        <w:rPr>
          <w:i/>
        </w:rPr>
        <w:t>Document 11 of 18 · BU-Aligned Library v2 · Renne Santiago</w:t>
      </w:r>
    </w:p>
    <w:p>
      <w:pPr>
        <w:pStyle w:val="Heading2"/>
      </w:pPr>
      <w:r>
        <w:rPr>
          <w:color w:val="CC0000"/>
        </w:rPr>
        <w:t>1. The change from the original design</w:t>
      </w:r>
    </w:p>
    <w:p>
      <w:r>
        <w:t xml:space="preserve">The original library described integration via a </w:t>
      </w:r>
      <w:r>
        <w:rPr>
          <w:b/>
        </w:rPr>
        <w:t>LibreChat gateway</w:t>
      </w:r>
      <w:r>
        <w:t xml:space="preserve">. BU's platform has since standardized on </w:t>
      </w:r>
      <w:r>
        <w:rPr>
          <w:b/>
        </w:rPr>
        <w:t>MCP (Model Context Protocol) as the architectural spine</w:t>
      </w:r>
      <w:r>
        <w:t xml:space="preserve"> — Nexus exposes an </w:t>
      </w:r>
      <w:r>
        <w:rPr>
          <w:rFonts w:ascii="Consolas" w:hAnsi="Consolas"/>
          <w:sz w:val="19"/>
        </w:rPr>
        <w:t>mcp-gateway-registry</w:t>
      </w:r>
      <w:r>
        <w:t xml:space="preserve"> and a </w:t>
      </w:r>
      <w:r>
        <w:rPr>
          <w:rFonts w:ascii="Consolas" w:hAnsi="Consolas"/>
          <w:sz w:val="19"/>
        </w:rPr>
        <w:t>Nexus MCP Control Plane</w:t>
      </w:r>
      <w:r>
        <w:t xml:space="preserve"> that route agent tool-calls. This document supersedes the LibreChat approach: </w:t>
      </w:r>
      <w:r>
        <w:rPr>
          <w:b/>
        </w:rPr>
        <w:t>CogniBase integrates as an MCP server.</w:t>
      </w:r>
      <w:r>
        <w:t xml:space="preserve"> (LibreChat/OpenAI-compatible chat remains available for </w:t>
      </w:r>
      <w:r>
        <w:rPr>
          <w:i/>
        </w:rPr>
        <w:t>local desktop</w:t>
      </w:r>
      <w:r>
        <w:t xml:space="preserve"> use only — Document 12.)</w:t>
      </w:r>
    </w:p>
    <w:p>
      <w:pPr>
        <w:pStyle w:val="Heading2"/>
      </w:pPr>
      <w:r>
        <w:rPr>
          <w:color w:val="CC0000"/>
        </w:rPr>
        <w:t>2. The integration, concretely</w:t>
      </w:r>
    </w:p>
    <w:p>
      <w:r>
        <w:t xml:space="preserve">CogniBase exposes its capabilities as </w:t>
      </w:r>
      <w:r>
        <w:rPr>
          <w:b/>
        </w:rPr>
        <w:t>MCP tools</w:t>
      </w:r>
      <w:r>
        <w:t xml:space="preserve"> and </w:t>
      </w:r>
      <w:r>
        <w:rPr>
          <w:b/>
        </w:rPr>
        <w:t>registers in BU's `mcp-gateway-registry`</w:t>
      </w:r>
      <w:r>
        <w:t>. A Nexus or Regent agent then calls them like any other Atlas tool — no bespoke connector: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MCP tool</w:t>
            </w:r>
          </w:p>
        </w:tc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Backed by</w:t>
            </w:r>
          </w:p>
        </w:tc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Returns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cognibase.search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RAG retriever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gate-filtered passages + citations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cognibase.ask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RAG query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synthesized, cited answer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cognibase.schema_explain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config corpus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plain-English schema/DocType explanation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cognibase.federated_query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Query Federator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sanctioned cross-source result (Document 8)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cognibase.list_doctypes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schema/.expk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DocType inventory</w:t>
            </w:r>
          </w:p>
        </w:tc>
      </w:tr>
    </w:tbl>
    <w:p/>
    <w:p>
      <w:r>
        <w:t>A runnable scaffold exists (</w:t>
      </w:r>
      <w:r>
        <w:rPr>
          <w:rFonts w:ascii="Consolas" w:hAnsi="Consolas"/>
          <w:sz w:val="19"/>
        </w:rPr>
        <w:t>C:\CogniBase\proposals\mcp_server.py</w:t>
      </w:r>
      <w:r>
        <w:t>) wrapping the live retriever/query-engine/router.</w:t>
      </w:r>
    </w:p>
    <w:p>
      <w:pPr>
        <w:pStyle w:val="Heading2"/>
      </w:pPr>
      <w:r>
        <w:rPr>
          <w:color w:val="CC0000"/>
        </w:rPr>
        <w:t>3. Where it runs (two-VPC)</w:t>
      </w:r>
    </w:p>
    <w:p>
      <w:pPr>
        <w:pStyle w:val="ListBullet"/>
      </w:pPr>
      <w:r>
        <w:rPr>
          <w:b/>
        </w:rPr>
        <w:t>AI Engineering VPC (lead):</w:t>
      </w:r>
      <w:r>
        <w:t xml:space="preserve"> the MCP server sits beside Nexus; the Control Plane routes to it; identity via </w:t>
      </w:r>
      <w:r>
        <w:rPr>
          <w:b/>
        </w:rPr>
        <w:t>Entra ID</w:t>
      </w:r>
      <w:r>
        <w:t xml:space="preserve">, transport behind </w:t>
      </w:r>
      <w:r>
        <w:rPr>
          <w:b/>
        </w:rPr>
        <w:t>APISIX</w:t>
      </w:r>
      <w:r>
        <w:t xml:space="preserve">, policy via </w:t>
      </w:r>
      <w:r>
        <w:rPr>
          <w:b/>
        </w:rPr>
        <w:t>OPA</w:t>
      </w:r>
      <w:r>
        <w:t>.</w:t>
      </w:r>
    </w:p>
    <w:p>
      <w:pPr>
        <w:pStyle w:val="ListBullet"/>
      </w:pPr>
      <w:r>
        <w:rPr>
          <w:b/>
        </w:rPr>
        <w:t>Data Engineering VPC (Phase 2):</w:t>
      </w:r>
      <w:r>
        <w:t xml:space="preserve"> optionally also expose an "OnBase API" behind APISIX as a peer of Person/Course API, for data-plane analytics and lake emit.</w:t>
      </w:r>
    </w:p>
    <w:p>
      <w:pPr>
        <w:pStyle w:val="Heading2"/>
      </w:pPr>
      <w:r>
        <w:rPr>
          <w:color w:val="CC0000"/>
        </w:rPr>
        <w:t>4. Why MCP-first is the right call</w:t>
      </w:r>
    </w:p>
    <w:p>
      <w:pPr>
        <w:pStyle w:val="ListBullet"/>
      </w:pPr>
      <w:r>
        <w:rPr>
          <w:b/>
        </w:rPr>
        <w:t>Native:</w:t>
      </w:r>
      <w:r>
        <w:t xml:space="preserve"> it is the exact interface BU's agents already speak — zero integration tax.</w:t>
      </w:r>
    </w:p>
    <w:p>
      <w:pPr>
        <w:pStyle w:val="ListBullet"/>
      </w:pPr>
      <w:r>
        <w:rPr>
          <w:b/>
        </w:rPr>
        <w:t>Governed:</w:t>
      </w:r>
      <w:r>
        <w:t xml:space="preserve"> tool calls inherit APISIX auth, OPA policy, and the audit trail.</w:t>
      </w:r>
    </w:p>
    <w:p>
      <w:pPr>
        <w:pStyle w:val="ListBullet"/>
      </w:pPr>
      <w:r>
        <w:rPr>
          <w:b/>
        </w:rPr>
        <w:t>Reversible:</w:t>
      </w:r>
      <w:r>
        <w:t xml:space="preserve"> an MCP tool is a thin, replaceable surface — it honors "freedom to leave."</w:t>
      </w:r>
    </w:p>
    <w:p>
      <w:pPr>
        <w:pStyle w:val="ListBullet"/>
      </w:pPr>
      <w:r>
        <w:rPr>
          <w:b/>
        </w:rPr>
        <w:t>Portable (Plan B):</w:t>
      </w:r>
      <w:r>
        <w:t xml:space="preserve"> the same MCP server works for any MCP-capable host, so the integration investment survives even if BU does not.</w:t>
      </w:r>
    </w:p>
    <w:p>
      <w:pPr>
        <w:pStyle w:val="Heading2"/>
      </w:pPr>
      <w:r>
        <w:rPr>
          <w:color w:val="CC0000"/>
        </w:rPr>
        <w:t>5. Streaming &amp; UX parity</w:t>
      </w:r>
    </w:p>
    <w:p>
      <w:r>
        <w:t>CogniBase supports token-by-token streaming, source-citation chips, and "searched N sources" transparency — matching the Nexus channel experience, so a CogniBase-backed assistant feels native inside BU's widget/Teams/Slack surfaces.</w:t>
      </w:r>
    </w:p>
    <w:p>
      <w:pPr>
        <w:ind w:left="432"/>
      </w:pPr>
      <w:r>
        <w:rPr>
          <w:i/>
          <w:color w:val="606060"/>
        </w:rPr>
        <w:t xml:space="preserve">Integration is not a bridge bolted onto BU's platform — it is CogniBase </w:t>
      </w:r>
      <w:r>
        <w:rPr>
          <w:b/>
          <w:i/>
          <w:color w:val="606060"/>
        </w:rPr>
        <w:t>speaking BU's own protocol</w:t>
      </w:r>
      <w:r>
        <w:rPr>
          <w:i/>
          <w:color w:val="606060"/>
        </w:rPr>
        <w:t>, registered in BU's own registry, governed by BU's own policy engine.</w:t>
      </w:r>
    </w:p>
    <w:p>
      <w:r>
        <w:rPr>
          <w:i/>
        </w:rPr>
        <w:t>Document 11 of 18 · Frame A · CogniBase BU-Aligned Library v2 · generated 2026-06-28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CogniBase — BU-Aligned Document Library</dc:title>
  <dc:subject/>
  <dc:creator>Renne Santiago</dc:creator>
  <cp:keywords/>
  <dc:description>generated by python-docx</dc:description>
  <cp:lastModifiedBy>Renne Santiago</cp:lastModifiedBy>
  <cp:revision>1</cp:revision>
  <dcterms:created xsi:type="dcterms:W3CDTF">2013-12-23T23:15:00Z</dcterms:created>
  <dcterms:modified xsi:type="dcterms:W3CDTF">2013-12-23T23:15:00Z</dcterms:modified>
  <cp:category>Authored by Renne Santiago</cp:category>
</cp:coreProperties>
</file>