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Model Strategy &amp; Curated Heterogeneity</w:t>
      </w:r>
    </w:p>
    <w:p>
      <w:r>
        <w:rPr>
          <w:i/>
        </w:rPr>
        <w:t>Document 12 of 18 · BU-Aligned Library v2 · Renne Santiago</w:t>
      </w:r>
    </w:p>
    <w:p>
      <w:pPr>
        <w:pStyle w:val="Heading2"/>
      </w:pPr>
      <w:r>
        <w:rPr>
          <w:color w:val="CC0000"/>
        </w:rPr>
        <w:t>1. Principle: no single bet</w:t>
      </w:r>
    </w:p>
    <w:p>
      <w:r>
        <w:t xml:space="preserve">CogniBase shares BU's stated commitment to </w:t>
      </w:r>
      <w:r>
        <w:rPr>
          <w:b/>
        </w:rPr>
        <w:t>curated heterogeneity</w:t>
      </w:r>
      <w:r>
        <w:t xml:space="preserve"> — multiple models, chosen per task on fit, cost, capability, and freedom to leave. The LLM is a </w:t>
      </w:r>
      <w:r>
        <w:rPr>
          <w:b/>
        </w:rPr>
        <w:t>pluggable component behind a vendor router</w:t>
      </w:r>
      <w:r>
        <w:t>, never hardcoded. Swapping or adding a provider is a config change.</w:t>
      </w:r>
    </w:p>
    <w:p>
      <w:pPr>
        <w:pStyle w:val="Heading2"/>
      </w:pPr>
      <w:r>
        <w:rPr>
          <w:color w:val="CC0000"/>
        </w:rPr>
        <w:t>2. The provider interface</w:t>
      </w:r>
    </w:p>
    <w:p>
      <w:r>
        <w:t xml:space="preserve">A single </w:t>
      </w:r>
      <w:r>
        <w:rPr>
          <w:rFonts w:ascii="Consolas" w:hAnsi="Consolas"/>
          <w:sz w:val="19"/>
        </w:rPr>
        <w:t>VendorRouter</w:t>
      </w:r>
      <w:r>
        <w:t xml:space="preserve"> fronts concrete adapters with a uniform </w:t>
      </w:r>
      <w:r>
        <w:rPr>
          <w:rFonts w:ascii="Consolas" w:hAnsi="Consolas"/>
          <w:sz w:val="19"/>
        </w:rPr>
        <w:t>chat()</w:t>
      </w:r>
      <w:r>
        <w:t xml:space="preserve"> / </w:t>
      </w:r>
      <w:r>
        <w:rPr>
          <w:rFonts w:ascii="Consolas" w:hAnsi="Consolas"/>
          <w:sz w:val="19"/>
        </w:rPr>
        <w:t>embed()</w:t>
      </w:r>
      <w:r>
        <w:t xml:space="preserve"> contract: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Adapter</w:t>
            </w:r>
          </w:p>
        </w:tc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claude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Frontier reasoning, synthesis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Alternate frontier / embeddings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gemini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Alternate frontier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ollama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Local, regulated, zero-egress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openai_compatible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LM Studio / llama.cpp / vLLM / any OpenAI-compatible server</w:t>
            </w:r>
          </w:p>
        </w:tc>
      </w:tr>
    </w:tbl>
    <w:p/>
    <w:p>
      <w:r>
        <w:t>Adapters are checkbox-active and multi-active; keys live outside code (Document 13).</w:t>
      </w:r>
    </w:p>
    <w:p>
      <w:pPr>
        <w:pStyle w:val="Heading2"/>
      </w:pPr>
      <w:r>
        <w:rPr>
          <w:color w:val="CC0000"/>
        </w:rPr>
        <w:t>3. Mapping to BU's providers</w:t>
      </w:r>
    </w:p>
    <w:p>
      <w:r>
        <w:t xml:space="preserve">BU runs models through </w:t>
      </w:r>
      <w:r>
        <w:rPr>
          <w:b/>
        </w:rPr>
        <w:t>AWS Bedrock</w:t>
      </w:r>
      <w:r>
        <w:t xml:space="preserve"> (Claude) and </w:t>
      </w:r>
      <w:r>
        <w:rPr>
          <w:b/>
        </w:rPr>
        <w:t>Azure OpenAI</w:t>
      </w:r>
      <w:r>
        <w:t xml:space="preserve"> (GPT), with Gemini planned. CogniBase's router targets the same providers through their endpoints, so model governance stays in BU's hands: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BU path</w:t>
            </w:r>
          </w:p>
        </w:tc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CogniBase 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 via Bedrock (IAM)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claude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openai_compatible</w:t>
            </w:r>
            <w:r>
              <w:rPr>
                <w:sz w:val="18"/>
              </w:rPr>
              <w:t xml:space="preserve"> to the Bedrock endpoint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GPT via Azure OpenAI (key)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openai</w:t>
            </w:r>
            <w:r>
              <w:rPr>
                <w:sz w:val="18"/>
              </w:rPr>
              <w:t xml:space="preserve"> to the Azure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 / regulated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ollama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openai_compatible</w:t>
            </w:r>
          </w:p>
        </w:tc>
      </w:tr>
    </w:tbl>
    <w:p/>
    <w:p>
      <w:pPr>
        <w:pStyle w:val="Heading2"/>
      </w:pPr>
      <w:r>
        <w:rPr>
          <w:color w:val="CC0000"/>
        </w:rPr>
        <w:t>4. Routing economics (efficiency by design)</w:t>
      </w:r>
    </w:p>
    <w:p>
      <w:r>
        <w:t xml:space="preserve">Not every task needs a frontier model. CogniBase routes </w:t>
      </w:r>
      <w:r>
        <w:rPr>
          <w:b/>
        </w:rPr>
        <w:t>cheap/local models for routine work</w:t>
      </w:r>
      <w:r>
        <w:t xml:space="preserve"> (schema explanation, classification, draft retrieval) and </w:t>
      </w:r>
      <w:r>
        <w:rPr>
          <w:b/>
        </w:rPr>
        <w:t>frontier models only where reasoning demands it</w:t>
      </w:r>
      <w:r>
        <w:t xml:space="preserve"> (cross-source synthesis, ambiguous questions). Per-conversation </w:t>
      </w:r>
      <w:r>
        <w:rPr>
          <w:b/>
        </w:rPr>
        <w:t>token + latency metrics</w:t>
      </w:r>
      <w:r>
        <w:t xml:space="preserve"> make cost transparent and tunable — aligning with BU's per-school cost-transparency goal.</w:t>
      </w:r>
    </w:p>
    <w:p>
      <w:pPr>
        <w:pStyle w:val="Heading2"/>
      </w:pPr>
      <w:r>
        <w:rPr>
          <w:color w:val="CC0000"/>
        </w:rPr>
        <w:t>5. Why this matters for trust</w:t>
      </w:r>
    </w:p>
    <w:p>
      <w:r>
        <w:t xml:space="preserve">Model heterogeneity also reduces single-model blind spots: a sanctioned correlation can be </w:t>
      </w:r>
      <w:r>
        <w:rPr>
          <w:b/>
        </w:rPr>
        <w:t>cross-checked across providers</w:t>
      </w:r>
      <w:r>
        <w:t>, and the numeric verifier (Document 10) re-executes calculations independent of any one model's confidence. Diversity is a correctness tool, not just a procurement stance.</w:t>
      </w:r>
    </w:p>
    <w:p>
      <w:pPr>
        <w:ind w:left="432"/>
      </w:pPr>
      <w:r>
        <w:rPr>
          <w:i/>
          <w:color w:val="606060"/>
        </w:rPr>
        <w:t xml:space="preserve">The model is the most replaceable part of CogniBase by design. The durable value is the </w:t>
      </w:r>
      <w:r>
        <w:rPr>
          <w:b/>
          <w:i/>
          <w:color w:val="606060"/>
        </w:rPr>
        <w:t>ontology, governance, and provenance</w:t>
      </w:r>
      <w:r>
        <w:rPr>
          <w:i/>
          <w:color w:val="606060"/>
        </w:rPr>
        <w:t xml:space="preserve"> around it — which is exactly where BU wants its institutional investment to sit.</w:t>
      </w:r>
    </w:p>
    <w:p>
      <w:r>
        <w:rPr>
          <w:i/>
        </w:rPr>
        <w:t>Document 12 of 18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