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  <w:sz w:val="40"/>
        </w:rPr>
        <w:t>CogniBase — Deployment, Operations &amp; Licensing</w:t>
      </w:r>
    </w:p>
    <w:p>
      <w:r>
        <w:rPr>
          <w:i/>
        </w:rPr>
        <w:t>Document 13 of 18 · BU-Aligned Library v2 · Renne Santiago</w:t>
      </w:r>
    </w:p>
    <w:p>
      <w:pPr>
        <w:pStyle w:val="Heading2"/>
      </w:pPr>
      <w:r>
        <w:rPr>
          <w:color w:val="CC0000"/>
        </w:rPr>
        <w:t>1. Two editions, one codebase</w:t>
      </w:r>
    </w:p>
    <w:p>
      <w:r>
        <w:t xml:space="preserve">CogniBase ships as </w:t>
      </w:r>
      <w:r>
        <w:rPr>
          <w:b/>
        </w:rPr>
        <w:t>edition profiles of a single codebase</w:t>
      </w:r>
      <w:r>
        <w:t>, not two forks. Edition-variable seams (vector store, identity, telemetry, policy, gateway) use the same pluggable-adapter pattern as the LLM router: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Edition</w:t>
            </w:r>
          </w:p>
        </w:tc>
        <w:tc>
          <w:tcPr>
            <w:tcW w:type="dxa" w:w="1234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234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Vector</w:t>
            </w:r>
          </w:p>
        </w:tc>
        <w:tc>
          <w:tcPr>
            <w:tcW w:type="dxa" w:w="1234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Identity</w:t>
            </w:r>
          </w:p>
        </w:tc>
        <w:tc>
          <w:tcPr>
            <w:tcW w:type="dxa" w:w="1234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Edge</w:t>
            </w:r>
          </w:p>
        </w:tc>
        <w:tc>
          <w:tcPr>
            <w:tcW w:type="dxa" w:w="1234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Observability</w:t>
            </w:r>
          </w:p>
        </w:tc>
        <w:tc>
          <w:tcPr>
            <w:tcW w:type="dxa" w:w="1234"/>
            <w:shd w:fill="CC0000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Deploy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Enterprise (Atlas)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BU / institutions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pgvector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Entra ID (OIDC)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APISIX + OPA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OTLP → customer Grafana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Helm / EKS / ARM64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Neutral / Core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commercial or free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pgvector/SQLite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OIDC/local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OTLP only (BYO dashboard)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Desktop / Docker</w:t>
            </w:r>
          </w:p>
        </w:tc>
      </w:tr>
    </w:tbl>
    <w:p/>
    <w:p>
      <w:pPr>
        <w:pStyle w:val="Heading2"/>
      </w:pPr>
      <w:r>
        <w:rPr>
          <w:color w:val="CC0000"/>
        </w:rPr>
        <w:t>2. BU-grade hardening (the commercial-grade uplift)</w:t>
      </w:r>
    </w:p>
    <w:p>
      <w:r>
        <w:t>Adopting BU's own permissively-licensed stack moves CogniBase from local POC to institutional product:</w:t>
      </w:r>
    </w:p>
    <w:p>
      <w:pPr>
        <w:pStyle w:val="ListBullet"/>
      </w:pPr>
      <w:r>
        <w:rPr>
          <w:b/>
        </w:rPr>
        <w:t>pgvector</w:t>
      </w:r>
      <w:r>
        <w:t xml:space="preserve"> (replaces ChromaDB) — ACID, concurrency, SQL filtering, backups; matches BU's Person/Course indices.</w:t>
      </w:r>
    </w:p>
    <w:p>
      <w:pPr>
        <w:pStyle w:val="ListBullet"/>
      </w:pPr>
      <w:r>
        <w:rPr>
          <w:b/>
        </w:rPr>
        <w:t>OpenTelemetry + Prometheus</w:t>
      </w:r>
      <w:r>
        <w:t xml:space="preserve"> instrumentation → traces/metrics/structured logs.</w:t>
      </w:r>
    </w:p>
    <w:p>
      <w:pPr>
        <w:pStyle w:val="ListBullet"/>
      </w:pPr>
      <w:r>
        <w:rPr>
          <w:b/>
        </w:rPr>
        <w:t>OIDC / Entra ID</w:t>
      </w:r>
      <w:r>
        <w:t xml:space="preserve"> (</w:t>
      </w:r>
      <w:r>
        <w:rPr>
          <w:rFonts w:ascii="Consolas" w:hAnsi="Consolas"/>
          <w:sz w:val="19"/>
        </w:rPr>
        <w:t>authlib</w:t>
      </w:r>
      <w:r>
        <w:t xml:space="preserve"> already a dependency) — enterprise SSO.</w:t>
      </w:r>
    </w:p>
    <w:p>
      <w:pPr>
        <w:pStyle w:val="ListBullet"/>
      </w:pPr>
      <w:r>
        <w:rPr>
          <w:b/>
        </w:rPr>
        <w:t>APISIX</w:t>
      </w:r>
      <w:r>
        <w:t xml:space="preserve"> gateway (TLS, rate-limit, API-key consumers) + </w:t>
      </w:r>
      <w:r>
        <w:rPr>
          <w:b/>
        </w:rPr>
        <w:t>OPA</w:t>
      </w:r>
      <w:r>
        <w:t xml:space="preserve"> for Gates.</w:t>
      </w:r>
    </w:p>
    <w:p>
      <w:pPr>
        <w:pStyle w:val="ListBullet"/>
      </w:pPr>
      <w:r>
        <w:rPr>
          <w:b/>
        </w:rPr>
        <w:t>External Secrets</w:t>
      </w:r>
      <w:r>
        <w:t xml:space="preserve"> — keys out of </w:t>
      </w:r>
      <w:r>
        <w:rPr>
          <w:rFonts w:ascii="Consolas" w:hAnsi="Consolas"/>
          <w:sz w:val="19"/>
        </w:rPr>
        <w:t>settings.json</w:t>
      </w:r>
      <w:r>
        <w:t>.</w:t>
      </w:r>
    </w:p>
    <w:p>
      <w:pPr>
        <w:pStyle w:val="ListBullet"/>
      </w:pPr>
      <w:r>
        <w:rPr>
          <w:b/>
        </w:rPr>
        <w:t>Helm + ARM64</w:t>
      </w:r>
      <w:r>
        <w:t xml:space="preserve"> image for Forge/Graviton.</w:t>
      </w:r>
    </w:p>
    <w:p>
      <w:pPr>
        <w:pStyle w:val="Heading2"/>
      </w:pPr>
      <w:r>
        <w:rPr>
          <w:color w:val="CC0000"/>
        </w:rPr>
        <w:t>3. Licensing hygiene (open-source done safely)</w:t>
      </w:r>
    </w:p>
    <w:p>
      <w:r>
        <w:t xml:space="preserve">CogniBase follows BU's own rule — </w:t>
      </w:r>
      <w:r>
        <w:rPr>
          <w:b/>
        </w:rPr>
        <w:t>permissive only, no copyleft bundled into the product</w:t>
      </w:r>
      <w:r>
        <w:t>:</w:t>
      </w:r>
    </w:p>
    <w:p>
      <w:pPr>
        <w:pStyle w:val="ListBullet"/>
      </w:pPr>
      <w:r>
        <w:rPr>
          <w:b/>
        </w:rPr>
        <w:t>Bundle freely (permissive):</w:t>
      </w:r>
      <w:r>
        <w:t xml:space="preserve"> pgvector/Postgres, OpenTelemetry SDK, Prometheus client, APISIX, OPA, authlib, Valkey, Dagster/Prefect, Iceberg/Trino.</w:t>
      </w:r>
    </w:p>
    <w:p>
      <w:pPr>
        <w:pStyle w:val="ListBullet"/>
      </w:pPr>
      <w:r>
        <w:rPr>
          <w:b/>
        </w:rPr>
        <w:t>Arm's-length / customer-provided (AGPL):</w:t>
      </w:r>
      <w:r>
        <w:t xml:space="preserve"> Grafana/Loki/Tempo/Mimir — emit OTLP, BYO dashboard; never vendored. (Same separate-process discipline AutoPDF uses for GPL engines.)</w:t>
      </w:r>
    </w:p>
    <w:p>
      <w:pPr>
        <w:pStyle w:val="ListBullet"/>
      </w:pPr>
      <w:r>
        <w:rPr>
          <w:b/>
        </w:rPr>
        <w:t>Avoid (SSPL):</w:t>
      </w:r>
      <w:r>
        <w:t xml:space="preserve"> MongoDB → use </w:t>
      </w:r>
      <w:r>
        <w:rPr>
          <w:b/>
        </w:rPr>
        <w:t>Postgres/JSONB</w:t>
      </w:r>
      <w:r>
        <w:t xml:space="preserve"> (which pgvector already brings in).</w:t>
      </w:r>
    </w:p>
    <w:p>
      <w:pPr>
        <w:ind w:left="432"/>
      </w:pPr>
      <w:r>
        <w:rPr>
          <w:i/>
          <w:color w:val="606060"/>
        </w:rPr>
        <w:t>The two-edition design lets BU's edition use the full open stack while the public edition stays legally headache-free — with no GPL/AGPL/SSPL in the shipped artefact.</w:t>
      </w:r>
    </w:p>
    <w:p>
      <w:pPr>
        <w:pStyle w:val="Heading2"/>
      </w:pPr>
      <w:r>
        <w:rPr>
          <w:color w:val="CC0000"/>
        </w:rPr>
        <w:t>4. Operations</w:t>
      </w:r>
    </w:p>
    <w:p>
      <w:pPr>
        <w:pStyle w:val="ListBullet"/>
      </w:pPr>
      <w:r>
        <w:rPr>
          <w:b/>
        </w:rPr>
        <w:t>GitOps</w:t>
      </w:r>
      <w:r>
        <w:t xml:space="preserve"> deploy (ArgoCD-compatible Kustomize/Helm); rollback via revision history.</w:t>
      </w:r>
    </w:p>
    <w:p>
      <w:pPr>
        <w:pStyle w:val="ListBullet"/>
      </w:pPr>
      <w:r>
        <w:rPr>
          <w:b/>
        </w:rPr>
        <w:t>Health probes</w:t>
      </w:r>
      <w:r>
        <w:t xml:space="preserve"> (liveness/readiness), HPA autoscaling, per-conversation metrics.</w:t>
      </w:r>
    </w:p>
    <w:p>
      <w:pPr>
        <w:pStyle w:val="ListBullet"/>
      </w:pPr>
      <w:r>
        <w:rPr>
          <w:b/>
        </w:rPr>
        <w:t>Secrets</w:t>
      </w:r>
      <w:r>
        <w:t xml:space="preserve"> via External Secrets Operator / Vault; no embedded credentials.</w:t>
      </w:r>
    </w:p>
    <w:p>
      <w:pPr>
        <w:pStyle w:val="ListBullet"/>
      </w:pPr>
      <w:r>
        <w:rPr>
          <w:b/>
        </w:rPr>
        <w:t>Backups</w:t>
      </w:r>
      <w:r>
        <w:t xml:space="preserve"> — pgvector + plain-file profile artefacts; portable by construction (freedom to leave).</w:t>
      </w:r>
    </w:p>
    <w:p>
      <w:pPr>
        <w:ind w:left="432"/>
      </w:pPr>
      <w:r>
        <w:rPr>
          <w:i/>
          <w:color w:val="606060"/>
        </w:rPr>
        <w:t>Licensing note: counsel should confirm the LICENSE/NOTICE manifests before any commercial release. The internal contingency plan governs which deep IP is exposed.</w:t>
      </w:r>
    </w:p>
    <w:p>
      <w:r>
        <w:rPr>
          <w:i/>
        </w:rPr>
        <w:t>Document 13 of 18 · Frame A · CogniBase BU-Aligned Library v2 · generated 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CogniBase — BU-Aligned Document Library</dc:title>
  <dc:subject/>
  <dc:creator>Renne Santiago</dc:creator>
  <cp:keywords/>
  <dc:description>generated by python-docx</dc:description>
  <cp:lastModifiedBy>Renne Santiago</cp:lastModifiedBy>
  <cp:revision>1</cp:revision>
  <dcterms:created xsi:type="dcterms:W3CDTF">2013-12-23T23:15:00Z</dcterms:created>
  <dcterms:modified xsi:type="dcterms:W3CDTF">2013-12-23T23:15:00Z</dcterms:modified>
  <cp:category>Authored by Renne Santiago</cp:category>
</cp:coreProperties>
</file>