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sz w:val="40"/>
        </w:rPr>
        <w:t>CogniBase — API &amp; Tool Contract: REST + MCP</w:t>
      </w:r>
    </w:p>
    <w:p>
      <w:r>
        <w:rPr>
          <w:i/>
        </w:rPr>
        <w:t>Document 14 of 18 · BU-Aligned Library v2 · Renne Santiago</w:t>
      </w:r>
    </w:p>
    <w:p>
      <w:pPr>
        <w:pStyle w:val="Heading2"/>
      </w:pPr>
      <w:r>
        <w:rPr>
          <w:color w:val="CC0000"/>
        </w:rPr>
        <w:t>1. Two faces, one engine</w:t>
      </w:r>
    </w:p>
    <w:p>
      <w:r>
        <w:t xml:space="preserve">CogniBase exposes the same governed engine through two contracts: a </w:t>
      </w:r>
      <w:r>
        <w:rPr>
          <w:b/>
        </w:rPr>
        <w:t>REST API</w:t>
      </w:r>
      <w:r>
        <w:t xml:space="preserve"> (for the UI, reports, and data-plane integration) and an </w:t>
      </w:r>
      <w:r>
        <w:rPr>
          <w:b/>
        </w:rPr>
        <w:t>MCP tool surface</w:t>
      </w:r>
      <w:r>
        <w:t xml:space="preserve"> (for Nexus/Regent agents). Both pass through the access model and audit trail — there is no ungoverned back door.</w:t>
      </w:r>
    </w:p>
    <w:p>
      <w:pPr>
        <w:pStyle w:val="Heading2"/>
      </w:pPr>
      <w:r>
        <w:rPr>
          <w:color w:val="CC0000"/>
        </w:rPr>
        <w:t>2. REST surface (representative)</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Method · Path</w:t>
            </w:r>
          </w:p>
        </w:tc>
        <w:tc>
          <w:tcPr>
            <w:tcW w:type="dxa" w:w="4320"/>
            <w:shd w:fill="CC0000"/>
          </w:tcPr>
          <w:p>
            <w:r>
              <w:rPr>
                <w:b/>
                <w:color w:val="FFFFFF"/>
                <w:sz w:val="18"/>
              </w:rPr>
            </w:r>
            <w:r>
              <w:rPr>
                <w:b/>
                <w:color w:val="FFFFFF"/>
                <w:sz w:val="18"/>
              </w:rPr>
              <w:t>Purpose</w:t>
            </w:r>
          </w:p>
        </w:tc>
      </w:tr>
      <w:tr>
        <w:tc>
          <w:tcPr>
            <w:tcW w:type="dxa" w:w="4320"/>
          </w:tcPr>
          <w:p>
            <w:r>
              <w:rPr>
                <w:sz w:val="18"/>
              </w:rPr>
            </w:r>
            <w:r>
              <w:rPr>
                <w:rFonts w:ascii="Consolas" w:hAnsi="Consolas"/>
                <w:sz w:val="18"/>
              </w:rPr>
              <w:t>POST /schema/extract</w:t>
            </w:r>
          </w:p>
        </w:tc>
        <w:tc>
          <w:tcPr>
            <w:tcW w:type="dxa" w:w="4320"/>
          </w:tcPr>
          <w:p>
            <w:r>
              <w:rPr>
                <w:sz w:val="18"/>
              </w:rPr>
            </w:r>
            <w:r>
              <w:rPr>
                <w:sz w:val="18"/>
              </w:rPr>
              <w:t>Extract schema from a live connection</w:t>
            </w:r>
          </w:p>
        </w:tc>
      </w:tr>
      <w:tr>
        <w:tc>
          <w:tcPr>
            <w:tcW w:type="dxa" w:w="4320"/>
          </w:tcPr>
          <w:p>
            <w:r>
              <w:rPr>
                <w:sz w:val="18"/>
              </w:rPr>
            </w:r>
            <w:r>
              <w:rPr>
                <w:rFonts w:ascii="Consolas" w:hAnsi="Consolas"/>
                <w:sz w:val="18"/>
              </w:rPr>
              <w:t>POST /metadata/import-expk</w:t>
            </w:r>
          </w:p>
        </w:tc>
        <w:tc>
          <w:tcPr>
            <w:tcW w:type="dxa" w:w="4320"/>
          </w:tcPr>
          <w:p>
            <w:r>
              <w:rPr>
                <w:sz w:val="18"/>
              </w:rPr>
            </w:r>
            <w:r>
              <w:rPr>
                <w:sz w:val="18"/>
              </w:rPr>
              <w:t xml:space="preserve">Ingest OnBase </w:t>
            </w:r>
            <w:r>
              <w:rPr>
                <w:rFonts w:ascii="Consolas" w:hAnsi="Consolas"/>
                <w:sz w:val="18"/>
              </w:rPr>
              <w:t>.expk</w:t>
            </w:r>
            <w:r>
              <w:rPr>
                <w:sz w:val="18"/>
              </w:rPr>
              <w:t xml:space="preserve"> configuration</w:t>
            </w:r>
          </w:p>
        </w:tc>
      </w:tr>
      <w:tr>
        <w:tc>
          <w:tcPr>
            <w:tcW w:type="dxa" w:w="4320"/>
          </w:tcPr>
          <w:p>
            <w:r>
              <w:rPr>
                <w:sz w:val="18"/>
              </w:rPr>
            </w:r>
            <w:r>
              <w:rPr>
                <w:rFonts w:ascii="Consolas" w:hAnsi="Consolas"/>
                <w:sz w:val="18"/>
              </w:rPr>
              <w:t>POST /query</w:t>
            </w:r>
          </w:p>
        </w:tc>
        <w:tc>
          <w:tcPr>
            <w:tcW w:type="dxa" w:w="4320"/>
          </w:tcPr>
          <w:p>
            <w:r>
              <w:rPr>
                <w:sz w:val="18"/>
              </w:rPr>
            </w:r>
            <w:r>
              <w:rPr>
                <w:sz w:val="18"/>
              </w:rPr>
              <w:t>RAG answer (grounded, cited)</w:t>
            </w:r>
          </w:p>
        </w:tc>
      </w:tr>
      <w:tr>
        <w:tc>
          <w:tcPr>
            <w:tcW w:type="dxa" w:w="4320"/>
          </w:tcPr>
          <w:p>
            <w:r>
              <w:rPr>
                <w:sz w:val="18"/>
              </w:rPr>
            </w:r>
            <w:r>
              <w:rPr>
                <w:rFonts w:ascii="Consolas" w:hAnsi="Consolas"/>
                <w:sz w:val="18"/>
              </w:rPr>
              <w:t>POST /federate</w:t>
            </w:r>
          </w:p>
        </w:tc>
        <w:tc>
          <w:tcPr>
            <w:tcW w:type="dxa" w:w="4320"/>
          </w:tcPr>
          <w:p>
            <w:r>
              <w:rPr>
                <w:sz w:val="18"/>
              </w:rPr>
            </w:r>
            <w:r>
              <w:rPr>
                <w:sz w:val="18"/>
              </w:rPr>
              <w:t>Run a Federation Plan (sanctioned join)</w:t>
            </w:r>
          </w:p>
        </w:tc>
      </w:tr>
      <w:tr>
        <w:tc>
          <w:tcPr>
            <w:tcW w:type="dxa" w:w="4320"/>
          </w:tcPr>
          <w:p>
            <w:r>
              <w:rPr>
                <w:sz w:val="18"/>
              </w:rPr>
            </w:r>
            <w:r>
              <w:rPr>
                <w:rFonts w:ascii="Consolas" w:hAnsi="Consolas"/>
                <w:sz w:val="18"/>
              </w:rPr>
              <w:t>GET /anchors</w:t>
            </w:r>
            <w:r>
              <w:rPr>
                <w:sz w:val="18"/>
              </w:rPr>
              <w:t xml:space="preserve"> / </w:t>
            </w:r>
            <w:r>
              <w:rPr>
                <w:rFonts w:ascii="Consolas" w:hAnsi="Consolas"/>
                <w:sz w:val="18"/>
              </w:rPr>
              <w:t>POST /anchors/refresh</w:t>
            </w:r>
          </w:p>
        </w:tc>
        <w:tc>
          <w:tcPr>
            <w:tcW w:type="dxa" w:w="4320"/>
          </w:tcPr>
          <w:p>
            <w:r>
              <w:rPr>
                <w:sz w:val="18"/>
              </w:rPr>
            </w:r>
            <w:r>
              <w:rPr>
                <w:sz w:val="18"/>
              </w:rPr>
              <w:t>Inspect / refresh hygiene anchors</w:t>
            </w:r>
          </w:p>
        </w:tc>
      </w:tr>
      <w:tr>
        <w:tc>
          <w:tcPr>
            <w:tcW w:type="dxa" w:w="4320"/>
          </w:tcPr>
          <w:p>
            <w:r>
              <w:rPr>
                <w:sz w:val="18"/>
              </w:rPr>
            </w:r>
            <w:r>
              <w:rPr>
                <w:rFonts w:ascii="Consolas" w:hAnsi="Consolas"/>
                <w:sz w:val="18"/>
              </w:rPr>
              <w:t>POST /reports/generate</w:t>
            </w:r>
          </w:p>
        </w:tc>
        <w:tc>
          <w:tcPr>
            <w:tcW w:type="dxa" w:w="4320"/>
          </w:tcPr>
          <w:p>
            <w:r>
              <w:rPr>
                <w:sz w:val="18"/>
              </w:rPr>
            </w:r>
            <w:r>
              <w:rPr>
                <w:sz w:val="18"/>
              </w:rPr>
              <w:t>Templated or ad-hoc report + audit folder</w:t>
            </w:r>
          </w:p>
        </w:tc>
      </w:tr>
      <w:tr>
        <w:tc>
          <w:tcPr>
            <w:tcW w:type="dxa" w:w="4320"/>
          </w:tcPr>
          <w:p>
            <w:r>
              <w:rPr>
                <w:sz w:val="18"/>
              </w:rPr>
            </w:r>
            <w:r>
              <w:rPr>
                <w:rFonts w:ascii="Consolas" w:hAnsi="Consolas"/>
                <w:sz w:val="18"/>
              </w:rPr>
              <w:t>GET /health</w:t>
            </w:r>
            <w:r>
              <w:rPr>
                <w:sz w:val="18"/>
              </w:rPr>
              <w:t xml:space="preserve"> · </w:t>
            </w:r>
            <w:r>
              <w:rPr>
                <w:rFonts w:ascii="Consolas" w:hAnsi="Consolas"/>
                <w:sz w:val="18"/>
              </w:rPr>
              <w:t>GET /version</w:t>
            </w:r>
            <w:r>
              <w:rPr>
                <w:sz w:val="18"/>
              </w:rPr>
              <w:t xml:space="preserve"> · </w:t>
            </w:r>
            <w:r>
              <w:rPr>
                <w:rFonts w:ascii="Consolas" w:hAnsi="Consolas"/>
                <w:sz w:val="18"/>
              </w:rPr>
              <w:t>GET /info</w:t>
            </w:r>
          </w:p>
        </w:tc>
        <w:tc>
          <w:tcPr>
            <w:tcW w:type="dxa" w:w="4320"/>
          </w:tcPr>
          <w:p>
            <w:r>
              <w:rPr>
                <w:sz w:val="18"/>
              </w:rPr>
            </w:r>
            <w:r>
              <w:rPr>
                <w:sz w:val="18"/>
              </w:rPr>
              <w:t>Ops/JSON (standard health endpoints)</w:t>
            </w:r>
          </w:p>
        </w:tc>
      </w:tr>
    </w:tbl>
    <w:p/>
    <w:p>
      <w:r>
        <w:t xml:space="preserve">Responses stream via </w:t>
      </w:r>
      <w:r>
        <w:rPr>
          <w:b/>
        </w:rPr>
        <w:t>SSE</w:t>
      </w:r>
      <w:r>
        <w:t xml:space="preserve"> (</w:t>
      </w:r>
      <w:r>
        <w:rPr>
          <w:rFonts w:ascii="Consolas" w:hAnsi="Consolas"/>
          <w:sz w:val="19"/>
        </w:rPr>
        <w:t>content_delta</w:t>
      </w:r>
      <w:r>
        <w:t xml:space="preserve">, </w:t>
      </w:r>
      <w:r>
        <w:rPr>
          <w:rFonts w:ascii="Consolas" w:hAnsi="Consolas"/>
          <w:sz w:val="19"/>
        </w:rPr>
        <w:t>tool_call_start</w:t>
      </w:r>
      <w:r>
        <w:t xml:space="preserve">, </w:t>
      </w:r>
      <w:r>
        <w:rPr>
          <w:rFonts w:ascii="Consolas" w:hAnsi="Consolas"/>
          <w:sz w:val="19"/>
        </w:rPr>
        <w:t>tool_result</w:t>
      </w:r>
      <w:r>
        <w:t xml:space="preserve">, </w:t>
      </w:r>
      <w:r>
        <w:rPr>
          <w:rFonts w:ascii="Consolas" w:hAnsi="Consolas"/>
          <w:sz w:val="19"/>
        </w:rPr>
        <w:t>auth_required</w:t>
      </w:r>
      <w:r>
        <w:t xml:space="preserve">, </w:t>
      </w:r>
      <w:r>
        <w:rPr>
          <w:rFonts w:ascii="Consolas" w:hAnsi="Consolas"/>
          <w:sz w:val="19"/>
        </w:rPr>
        <w:t>done</w:t>
      </w:r>
      <w:r>
        <w:t>) — matching Nexus's event contract.</w:t>
      </w:r>
    </w:p>
    <w:p>
      <w:pPr>
        <w:pStyle w:val="Heading2"/>
      </w:pPr>
      <w:r>
        <w:rPr>
          <w:color w:val="CC0000"/>
        </w:rPr>
        <w:t>3. MCP tool surface</w:t>
      </w:r>
    </w:p>
    <w:p>
      <w:r>
        <w:rPr>
          <w:rFonts w:ascii="Consolas" w:hAnsi="Consolas"/>
          <w:sz w:val="19"/>
        </w:rPr>
        <w:t>cognibase.search</w:t>
      </w:r>
      <w:r>
        <w:t xml:space="preserve"> · </w:t>
      </w:r>
      <w:r>
        <w:rPr>
          <w:rFonts w:ascii="Consolas" w:hAnsi="Consolas"/>
          <w:sz w:val="19"/>
        </w:rPr>
        <w:t>cognibase.ask</w:t>
      </w:r>
      <w:r>
        <w:t xml:space="preserve"> · </w:t>
      </w:r>
      <w:r>
        <w:rPr>
          <w:rFonts w:ascii="Consolas" w:hAnsi="Consolas"/>
          <w:sz w:val="19"/>
        </w:rPr>
        <w:t>cognibase.schema_explain</w:t>
      </w:r>
      <w:r>
        <w:t xml:space="preserve"> · </w:t>
      </w:r>
      <w:r>
        <w:rPr>
          <w:rFonts w:ascii="Consolas" w:hAnsi="Consolas"/>
          <w:sz w:val="19"/>
        </w:rPr>
        <w:t>cognibase.federated_query</w:t>
      </w:r>
      <w:r>
        <w:t xml:space="preserve"> · </w:t>
      </w:r>
      <w:r>
        <w:rPr>
          <w:rFonts w:ascii="Consolas" w:hAnsi="Consolas"/>
          <w:sz w:val="19"/>
        </w:rPr>
        <w:t>cognibase.list_doctypes</w:t>
      </w:r>
      <w:r>
        <w:t xml:space="preserve"> (Document 11). Each tool description is admin-managed and visibility-gated; the same Gate/Privacy-Transformer pipeline runs before any tool result returns.</w:t>
      </w:r>
    </w:p>
    <w:p>
      <w:pPr>
        <w:pStyle w:val="Heading2"/>
      </w:pPr>
      <w:r>
        <w:rPr>
          <w:color w:val="CC0000"/>
        </w:rPr>
        <w:t>4. Authentication &amp; config</w:t>
      </w:r>
    </w:p>
    <w:p>
      <w:pPr>
        <w:pStyle w:val="ListBullet"/>
      </w:pPr>
      <w:r>
        <w:rPr>
          <w:b/>
        </w:rPr>
        <w:t>Auth:</w:t>
      </w:r>
      <w:r>
        <w:t xml:space="preserve"> Entra ID (MSAL PKCE) for users; APISIX consumer keys for widget/agent deployments; OnBase OAuth passthrough for source access.</w:t>
      </w:r>
    </w:p>
    <w:p>
      <w:pPr>
        <w:pStyle w:val="ListBullet"/>
      </w:pPr>
      <w:r>
        <w:rPr>
          <w:b/>
        </w:rPr>
        <w:t>Config API:</w:t>
      </w:r>
      <w:r>
        <w:t xml:space="preserve"> ETag-cached config (agents/deployments/models/tool-endpoints) the agent backend polls — no restart on change, mirroring Nexus's admin-config pattern.</w:t>
      </w:r>
    </w:p>
    <w:p>
      <w:pPr>
        <w:pStyle w:val="ListBullet"/>
      </w:pPr>
      <w:r>
        <w:rPr>
          <w:b/>
        </w:rPr>
        <w:t>Smart auth:</w:t>
      </w:r>
      <w:r>
        <w:t xml:space="preserve"> a synthetic tool lets the model request identity only when a question needs it.</w:t>
      </w:r>
    </w:p>
    <w:p>
      <w:pPr>
        <w:pStyle w:val="Heading2"/>
      </w:pPr>
      <w:r>
        <w:rPr>
          <w:color w:val="CC0000"/>
        </w:rPr>
        <w:t>5. Contract stability</w:t>
      </w:r>
    </w:p>
    <w:p>
      <w:r>
        <w:t>The OnBase REST shapes are pinned to API version 1; field anomalies are documented in coordination with BU's REST POC team (Document 16). The MCP contract follows the published MCP spec, so BU's gateway treats CogniBase like any registered tool server.</w:t>
      </w:r>
    </w:p>
    <w:p>
      <w:pPr>
        <w:ind w:left="432"/>
      </w:pPr>
      <w:r>
        <w:rPr>
          <w:i/>
          <w:color w:val="606060"/>
        </w:rPr>
        <w:t>The contract is deliberately boring and standard — REST + SSE + MCP — because predictability is what makes a component safe to adopt and safe to leave.</w:t>
      </w:r>
    </w:p>
    <w:p>
      <w:r>
        <w:rPr>
          <w:i/>
        </w:rPr>
        <w:t>Document 14 of 18 · Frame A · CogniBase BU-Aligned Library v2 · generated 2026-06-28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CogniBase — BU-Aligned Document Library</dc:title>
  <dc:subject/>
  <dc:creator>Renne Santiago</dc:creator>
  <cp:keywords/>
  <dc:description>generated by python-docx</dc:description>
  <cp:lastModifiedBy>Renne Santiago</cp:lastModifiedBy>
  <cp:revision>1</cp:revision>
  <dcterms:created xsi:type="dcterms:W3CDTF">2013-12-23T23:15:00Z</dcterms:created>
  <dcterms:modified xsi:type="dcterms:W3CDTF">2013-12-23T23:15:00Z</dcterms:modified>
  <cp:category>Authored by Renne Santiago</cp:category>
</cp:coreProperties>
</file>