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Beyond OnBase: Lake, Semantic Layer &amp; Knowledge Graph</w:t>
      </w:r>
    </w:p>
    <w:p>
      <w:r>
        <w:rPr>
          <w:i/>
        </w:rPr>
        <w:t>Document 15 of 18 · BU-Aligned Library v2 · Renne Santiago</w:t>
      </w:r>
    </w:p>
    <w:p>
      <w:pPr>
        <w:pStyle w:val="Heading2"/>
      </w:pPr>
      <w:r>
        <w:rPr>
          <w:color w:val="CC0000"/>
        </w:rPr>
        <w:t>1. The mission shift</w:t>
      </w:r>
    </w:p>
    <w:p>
      <w:r>
        <w:t xml:space="preserve">OnBase is rigid: walled tables, hard to combine with other sources, hard to find patterns across the full content. The strategic ambition is to </w:t>
      </w:r>
      <w:r>
        <w:rPr>
          <w:b/>
        </w:rPr>
        <w:t>exceed OnBase</w:t>
      </w:r>
      <w:r>
        <w:t xml:space="preserve"> — lift what it exposes into a governed vector + lake layer where AI can correlate, infer, and report across boundaries OnBase itself cannot cross. Crucially, this expansion </w:t>
      </w:r>
      <w:r>
        <w:rPr>
          <w:b/>
        </w:rPr>
        <w:t>inherits the trust layer</w:t>
      </w:r>
      <w:r>
        <w:t xml:space="preserve"> (Document 2): more reach, not more fabrication.</w:t>
      </w:r>
    </w:p>
    <w:p>
      <w:pPr>
        <w:pStyle w:val="Heading2"/>
      </w:pPr>
      <w:r>
        <w:rPr>
          <w:color w:val="CC0000"/>
        </w:rPr>
        <w:t>2. Four additions (governed, not speculative)</w:t>
      </w:r>
    </w:p>
    <w:p>
      <w:r>
        <w:t xml:space="preserve">1. </w:t>
      </w:r>
      <w:r>
        <w:rPr>
          <w:b/>
        </w:rPr>
        <w:t>Lake emit</w:t>
      </w:r>
      <w:r>
        <w:t xml:space="preserve"> — curated OnBase entities written to </w:t>
      </w:r>
      <w:r>
        <w:rPr>
          <w:b/>
        </w:rPr>
        <w:t>Iceberg-on-S3</w:t>
      </w:r>
      <w:r>
        <w:t xml:space="preserve"> (Cortex), Trino-queryable, lineage-tracked. Open table format = no lock-in.</w:t>
      </w:r>
    </w:p>
    <w:p>
      <w:r>
        <w:t xml:space="preserve">2. </w:t>
      </w:r>
      <w:r>
        <w:rPr>
          <w:b/>
        </w:rPr>
        <w:t>Entity layer</w:t>
      </w:r>
      <w:r>
        <w:t xml:space="preserve"> — canonical entities (Person, Student, Vendor, Asset…) resolved on sanctioned keys, the nodes of a knowledge graph.</w:t>
      </w:r>
    </w:p>
    <w:p>
      <w:r>
        <w:t xml:space="preserve">3. </w:t>
      </w:r>
      <w:r>
        <w:rPr>
          <w:b/>
        </w:rPr>
        <w:t>Semantic layer</w:t>
      </w:r>
      <w:r>
        <w:t xml:space="preserve"> — shared business definitions feeding BU's </w:t>
      </w:r>
      <w:r>
        <w:rPr>
          <w:b/>
        </w:rPr>
        <w:t>Lexicon</w:t>
      </w:r>
      <w:r>
        <w:t xml:space="preserve"> (Cube/Superset/OpenMetadata), so "active enrollment" means one thing everywhere.</w:t>
      </w:r>
    </w:p>
    <w:p>
      <w:r>
        <w:t xml:space="preserve">4. </w:t>
      </w:r>
      <w:r>
        <w:rPr>
          <w:b/>
        </w:rPr>
        <w:t>Agentic reach</w:t>
      </w:r>
      <w:r>
        <w:t xml:space="preserve"> — Regent-style headless workflows over the governed graph (freshness monitoring, anomaly triage), each tool call gated and audited.</w:t>
      </w:r>
    </w:p>
    <w:p>
      <w:pPr>
        <w:pStyle w:val="Heading2"/>
      </w:pPr>
      <w:r>
        <w:rPr>
          <w:color w:val="CC0000"/>
        </w:rPr>
        <w:t>3. Alignment to BU's roadmap</w:t>
      </w:r>
    </w:p>
    <w:p>
      <w:r>
        <w:t xml:space="preserve">BU has published an </w:t>
      </w:r>
      <w:r>
        <w:rPr>
          <w:b/>
        </w:rPr>
        <w:t>"Ontology Investigation"</w:t>
      </w:r>
      <w:r>
        <w:t xml:space="preserve"> and a 12-month goal of an </w:t>
      </w:r>
      <w:r>
        <w:rPr>
          <w:b/>
        </w:rPr>
        <w:t>enterprise knowledge graph linking metrics, data, and policy.</w:t>
      </w:r>
      <w:r>
        <w:t xml:space="preserve"> CogniBase's Normalizers/CrossLinks are knowledge-graph edges in waiting; its OnBase domain modeling is the hardest, most strategic input to that graph — the layer BU has self-identified as weakest. CogniBase contributes OnBase's slice of the institutional ontology, evidence-first and steward-confirmed.</w:t>
      </w:r>
    </w:p>
    <w:p>
      <w:pPr>
        <w:pStyle w:val="Heading2"/>
      </w:pPr>
      <w:r>
        <w:rPr>
          <w:color w:val="CC0000"/>
        </w:rPr>
        <w:t>4. Local LLM strategy (portability)</w:t>
      </w:r>
    </w:p>
    <w:p>
      <w:r>
        <w:t xml:space="preserve">"Beyond OnBase" does not mean "cloud-only." The </w:t>
      </w:r>
      <w:r>
        <w:rPr>
          <w:rFonts w:ascii="Consolas" w:hAnsi="Consolas"/>
          <w:sz w:val="19"/>
        </w:rPr>
        <w:t>openai_compatible</w:t>
      </w:r>
      <w:r>
        <w:t xml:space="preserve"> adapter speaks the de-facto local-server protocol (LM Studio / llama.cpp / vLLM / Ollama-compat), so regulated correlation can run entirely on-prem when policy requires — the same engine, different backend.</w:t>
      </w:r>
    </w:p>
    <w:p>
      <w:pPr>
        <w:pStyle w:val="Heading2"/>
      </w:pPr>
      <w:r>
        <w:rPr>
          <w:color w:val="CC0000"/>
        </w:rPr>
        <w:t>5. The `.expk` + soft-FK foundation</w:t>
      </w:r>
    </w:p>
    <w:p>
      <w:r>
        <w:t>A system without enforced foreign keys keeps its semantics in code, conventions, and configuration. Once CogniBase extracts those (</w:t>
      </w:r>
      <w:r>
        <w:rPr>
          <w:rFonts w:ascii="Consolas" w:hAnsi="Consolas"/>
          <w:sz w:val="19"/>
        </w:rPr>
        <w:t>.expk</w:t>
      </w:r>
      <w:r>
        <w:t xml:space="preserve"> intent + MRG annotations + inference) into a vector + graph layer, </w:t>
      </w:r>
      <w:r>
        <w:rPr>
          <w:b/>
        </w:rPr>
        <w:t>the relationships become first-class for the AI</w:t>
      </w:r>
      <w:r>
        <w:t xml:space="preserve"> — OnBase cannot natively ask "all docs related to Vendor X across all DocTypes and lifecycles," but the governed graph can.</w:t>
      </w:r>
    </w:p>
    <w:p>
      <w:pPr>
        <w:pStyle w:val="Heading2"/>
      </w:pPr>
      <w:r>
        <w:rPr>
          <w:color w:val="CC0000"/>
        </w:rPr>
        <w:t>6. Sequencing (Plan-A/Plan-B aware)</w:t>
      </w:r>
    </w:p>
    <w:p>
      <w:r>
        <w:t xml:space="preserve">Build the </w:t>
      </w:r>
      <w:r>
        <w:rPr>
          <w:b/>
        </w:rPr>
        <w:t>portable core</w:t>
      </w:r>
      <w:r>
        <w:t xml:space="preserve"> (entity layer, semantic feeds, lake emit on open formats) first — it serves BU </w:t>
      </w:r>
      <w:r>
        <w:rPr>
          <w:i/>
        </w:rPr>
        <w:t>and</w:t>
      </w:r>
      <w:r>
        <w:t xml:space="preserve"> every other OnBase customer. Keep BU-specific wiring thin and late. The "beyond OnBase" vision is therefore also the diversification hedge: the more general the knowledge layer, the less any single customer gates its value.</w:t>
      </w:r>
    </w:p>
    <w:p>
      <w:r>
        <w:rPr>
          <w:b/>
        </w:rPr>
        <w:t>Across BU’s systems of record.</w:t>
      </w:r>
      <w:r>
        <w:t xml:space="preserve"> The lift-into-a-lake mission naturally reaches BU’s wider federation — MyBU/Campus Solutions, SAP, the facilities cluster (CAMMS/PMWeb/25Live/FMS), Blackbaud, Kuali/Huron — but only through sanctioned relationships. </w:t>
      </w:r>
      <w:r>
        <w:rPr>
          <w:b/>
        </w:rPr>
        <w:t>Document 18</w:t>
      </w:r>
      <w:r>
        <w:t xml:space="preserve"> maps that landscape and the inclusion test (natural / policy-bounded / excluded) that governs which systems CogniBase may touch.</w:t>
      </w:r>
    </w:p>
    <w:p>
      <w:pPr>
        <w:ind w:left="432"/>
      </w:pPr>
      <w:r>
        <w:rPr>
          <w:i/>
          <w:color w:val="606060"/>
        </w:rPr>
        <w:t>Beyond OnBase is not scope creep — it is the same governed discipline, extended from one content store to the institution's connected knowledge.</w:t>
      </w:r>
    </w:p>
    <w:p>
      <w:r>
        <w:rPr>
          <w:i/>
        </w:rPr>
        <w:t>Document 15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