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C0000"/>
          <w:sz w:val="40"/>
        </w:rPr>
        <w:t>CogniBase — Coordination &amp; Pilot Plan</w:t>
      </w:r>
    </w:p>
    <w:p>
      <w:r>
        <w:rPr>
          <w:i/>
        </w:rPr>
        <w:t>Document 16 of 18 · BU-Aligned Library v2 · Renne Santiago</w:t>
      </w:r>
    </w:p>
    <w:p>
      <w:pPr>
        <w:pStyle w:val="Heading2"/>
      </w:pPr>
      <w:r>
        <w:rPr>
          <w:color w:val="CC0000"/>
        </w:rPr>
        <w:t>1. Working model with BU's OnBase REST POC team</w:t>
      </w:r>
    </w:p>
    <w:p>
      <w:r>
        <w:t xml:space="preserve">BU has a team exploring the OnBase REST API with strong REST/HTTP skills but limited OnBase domain depth. CogniBase brings the domain layer (DocType modeling, Custom Query semantics, Lifecycle/Workflow awareness, Normalizers, Gates, Hygiene) on top of plumbing both teams hit. The relationship is </w:t>
      </w:r>
      <w:r>
        <w:rPr>
          <w:b/>
        </w:rPr>
        <w:t>coordinate, not integrate</w:t>
      </w:r>
      <w:r>
        <w:t xml:space="preserve"> — same upstream Hyland API, shared notes, no duplicated work.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CC0000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Concern</w:t>
            </w:r>
          </w:p>
        </w:tc>
        <w:tc>
          <w:tcPr>
            <w:tcW w:type="dxa" w:w="4320"/>
            <w:shd w:fill="CC0000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Owner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Hyland identity/tenant config, credentials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BU IT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DocType / KeywordType departmental inventory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BU REST POC team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OnBase domain modeling, Normalizers, Gates, Federator, hygiene, RAG, audit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CogniBase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Document Management REST client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Either (shared/vendored)</w:t>
            </w:r>
          </w:p>
        </w:tc>
      </w:tr>
    </w:tbl>
    <w:p/>
    <w:p>
      <w:pPr>
        <w:pStyle w:val="Heading2"/>
      </w:pPr>
      <w:r>
        <w:rPr>
          <w:color w:val="CC0000"/>
        </w:rPr>
        <w:t>2. What we ask of BU (the gating signals)</w:t>
      </w:r>
    </w:p>
    <w:p>
      <w:r>
        <w:t xml:space="preserve">1. A </w:t>
      </w:r>
      <w:r>
        <w:rPr>
          <w:b/>
        </w:rPr>
        <w:t>sponsoring team</w:t>
      </w:r>
      <w:r>
        <w:t xml:space="preserve"> and a </w:t>
      </w:r>
      <w:r>
        <w:rPr>
          <w:b/>
        </w:rPr>
        <w:t>named technical contact</w:t>
      </w:r>
      <w:r>
        <w:t>.</w:t>
      </w:r>
    </w:p>
    <w:p>
      <w:r>
        <w:t xml:space="preserve">2. </w:t>
      </w:r>
      <w:r>
        <w:rPr>
          <w:b/>
        </w:rPr>
        <w:t>One IT credential request</w:t>
      </w:r>
      <w:r>
        <w:t xml:space="preserve"> for a shared </w:t>
      </w:r>
      <w:r>
        <w:rPr>
          <w:b/>
        </w:rPr>
        <w:t>non-production</w:t>
      </w:r>
      <w:r>
        <w:t xml:space="preserve"> OnBase instance usable by both teams (draft ready).</w:t>
      </w:r>
    </w:p>
    <w:p>
      <w:r>
        <w:t xml:space="preserve">3. A </w:t>
      </w:r>
      <w:r>
        <w:rPr>
          <w:b/>
        </w:rPr>
        <w:t>named data steward</w:t>
      </w:r>
      <w:r>
        <w:t xml:space="preserve"> to ratify ontology relationships (the ontology needs an owner — Document 2).</w:t>
      </w:r>
    </w:p>
    <w:p>
      <w:pPr>
        <w:pStyle w:val="Heading2"/>
      </w:pPr>
      <w:r>
        <w:rPr>
          <w:color w:val="CC0000"/>
        </w:rPr>
        <w:t>3. Pilot scope (3–4 weeks)</w:t>
      </w:r>
    </w:p>
    <w:p>
      <w:r>
        <w:t>A narrow, high-value use case (e.g., FA-document lifecycle vs. SIS enrollment) demonstrating, in BU's terms:</w:t>
      </w:r>
    </w:p>
    <w:p>
      <w:r>
        <w:t xml:space="preserve">1. </w:t>
      </w:r>
      <w:r>
        <w:rPr>
          <w:b/>
        </w:rPr>
        <w:t>Governed correlation</w:t>
      </w:r>
      <w:r>
        <w:t xml:space="preserve"> — a real cross-source question answered through sanctioned relationships, inferred-vs-verified visible.</w:t>
      </w:r>
    </w:p>
    <w:p>
      <w:r>
        <w:t xml:space="preserve">2. </w:t>
      </w:r>
      <w:r>
        <w:rPr>
          <w:b/>
        </w:rPr>
        <w:t>Auditability</w:t>
      </w:r>
      <w:r>
        <w:t xml:space="preserve"> — every claim reconstructable L1–L4 (FERPA-grade).</w:t>
      </w:r>
    </w:p>
    <w:p>
      <w:r>
        <w:t xml:space="preserve">3. </w:t>
      </w:r>
      <w:r>
        <w:rPr>
          <w:b/>
        </w:rPr>
        <w:t>Atlas-native integration</w:t>
      </w:r>
      <w:r>
        <w:t xml:space="preserve"> — CogniBase reachable as an MCP tool from a Nexus agent.</w:t>
      </w:r>
    </w:p>
    <w:p>
      <w:r>
        <w:t xml:space="preserve">4. </w:t>
      </w:r>
      <w:r>
        <w:rPr>
          <w:b/>
        </w:rPr>
        <w:t>No lock-in</w:t>
      </w:r>
      <w:r>
        <w:t xml:space="preserve"> — plain-file portability demonstrated.</w:t>
      </w:r>
    </w:p>
    <w:p>
      <w:pPr>
        <w:pStyle w:val="Heading2"/>
      </w:pPr>
      <w:r>
        <w:rPr>
          <w:color w:val="CC0000"/>
        </w:rPr>
        <w:t>4. Critical path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CC0000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4320"/>
            <w:shd w:fill="CC0000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Gate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Named sponsor + steward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BU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Credentials + non-prod instance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BU IT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MCP server registered in </w:t>
            </w:r>
            <w:r>
              <w:rPr>
                <w:rFonts w:ascii="Consolas" w:hAnsi="Consolas"/>
                <w:sz w:val="18"/>
              </w:rPr>
              <w:t>mcp-gateway-registry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CogniBase (scaffold exists)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pgvector + Entra ID identity wired (BU mode)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CogniBase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Seed ontology from </w:t>
            </w:r>
            <w:r>
              <w:rPr>
                <w:rFonts w:ascii="Consolas" w:hAnsi="Consolas"/>
                <w:sz w:val="18"/>
              </w:rPr>
              <w:t>.expk</w:t>
            </w:r>
            <w:r>
              <w:rPr>
                <w:sz w:val="18"/>
              </w:rPr>
              <w:t xml:space="preserve"> + Person CDM; steward-confirm Normalizers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Joint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Pilot use case live + audit demo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Joint</w:t>
            </w:r>
          </w:p>
        </w:tc>
      </w:tr>
    </w:tbl>
    <w:p/>
    <w:p>
      <w:pPr>
        <w:pStyle w:val="Heading2"/>
      </w:pPr>
      <w:r>
        <w:rPr>
          <w:color w:val="CC0000"/>
        </w:rPr>
        <w:t>5. Success criteria</w:t>
      </w:r>
    </w:p>
    <w:p>
      <w:pPr>
        <w:pStyle w:val="ListBullet"/>
      </w:pPr>
      <w:r>
        <w:t xml:space="preserve">100% of </w:t>
      </w:r>
      <w:r>
        <w:rPr>
          <w:i/>
        </w:rPr>
        <w:t>authoritative</w:t>
      </w:r>
      <w:r>
        <w:t xml:space="preserve"> cross-source claims backed by a sanctioned relationship.</w:t>
      </w:r>
    </w:p>
    <w:p>
      <w:pPr>
        <w:pStyle w:val="ListBullet"/>
      </w:pPr>
      <w:r>
        <w:t>Auditor reconstructs any claim from the cited rule.</w:t>
      </w:r>
    </w:p>
    <w:p>
      <w:pPr>
        <w:pStyle w:val="ListBullet"/>
      </w:pPr>
      <w:r>
        <w:t>A Nexus agent answers an OnBase question via CogniBase's MCP tool.</w:t>
      </w:r>
    </w:p>
    <w:p>
      <w:pPr>
        <w:pStyle w:val="ListBullet"/>
      </w:pPr>
      <w:r>
        <w:t>BU confirms the open-exit (portability) test.</w:t>
      </w:r>
    </w:p>
    <w:p>
      <w:pPr>
        <w:pStyle w:val="Heading2"/>
      </w:pPr>
      <w:r>
        <w:rPr>
          <w:color w:val="CC0000"/>
        </w:rPr>
        <w:t>6. Roadmap beyond pilot</w:t>
      </w:r>
    </w:p>
    <w:p>
      <w:r>
        <w:t xml:space="preserve">GA OnBase coverage → lake/Iceberg emit into Cortex → semantic feeds into Lexicon → Regent-style agentic workflows. Sequenced </w:t>
      </w:r>
      <w:r>
        <w:rPr>
          <w:b/>
        </w:rPr>
        <w:t>portable-core-first</w:t>
      </w:r>
      <w:r>
        <w:t xml:space="preserve"> so value compounds regardless of any single milestone (internal contingency plan governs pace and IP exposure).</w:t>
      </w:r>
    </w:p>
    <w:p>
      <w:r>
        <w:rPr>
          <w:b/>
        </w:rPr>
        <w:t>Roadmap fit.</w:t>
      </w:r>
      <w:r>
        <w:t xml:space="preserve"> CogniBase advances items already on BU's funded 2026 roadmap rather than adding a new one — </w:t>
      </w:r>
      <w:r>
        <w:rPr>
          <w:b/>
        </w:rPr>
        <w:t>Appendix B</w:t>
      </w:r>
      <w:r>
        <w:t xml:space="preserve"> crosswalks it to all four lanes (strongest in AI Engineering, concrete in Data Engineering and Enterprise Architecture, supporting in Essential Services).</w:t>
      </w:r>
    </w:p>
    <w:p>
      <w:pPr>
        <w:pStyle w:val="Heading2"/>
      </w:pPr>
      <w:r>
        <w:rPr>
          <w:color w:val="CC0000"/>
        </w:rPr>
        <w:t>7. Co-Development Model — a governed tandem build</w:t>
      </w:r>
    </w:p>
    <w:p>
      <w:r>
        <w:t xml:space="preserve">BU's stated posture is </w:t>
      </w:r>
      <w:r>
        <w:rPr>
          <w:i/>
        </w:rPr>
        <w:t>"AI has changed build vs. buy — we build in-house."</w:t>
      </w:r>
      <w:r>
        <w:t xml:space="preserve"> CogniBase takes that seriously: the strongest engagement is </w:t>
      </w:r>
      <w:r>
        <w:rPr>
          <w:b/>
        </w:rPr>
        <w:t>not a product sale but a governed co-development</w:t>
      </w:r>
      <w:r>
        <w:t xml:space="preserve"> — BU builds </w:t>
      </w:r>
      <w:r>
        <w:rPr>
          <w:i/>
        </w:rPr>
        <w:t>with</w:t>
      </w:r>
      <w:r>
        <w:t xml:space="preserve"> the CogniBase team, keeping ownership and skills, on the design-partnership pattern BU already runs. Appendix B shows the shared roadmap items; this section is how the two sides build them together.</w:t>
      </w:r>
    </w:p>
    <w:p>
      <w:r>
        <w:rPr>
          <w:b/>
        </w:rPr>
        <w:t>The IP boundary (what makes co-development clean):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CC0000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 xml:space="preserve">Co-built &amp; </w:t>
            </w:r>
            <w:r>
              <w:rPr>
                <w:b/>
                <w:color w:val="FFFFFF"/>
                <w:sz w:val="18"/>
              </w:rPr>
              <w:t>BU-owned</w:t>
            </w:r>
          </w:p>
        </w:tc>
        <w:tc>
          <w:tcPr>
            <w:tcW w:type="dxa" w:w="4320"/>
            <w:shd w:fill="CC0000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 xml:space="preserve">Licensed </w:t>
            </w:r>
            <w:r>
              <w:rPr>
                <w:b/>
                <w:color w:val="FFFFFF"/>
                <w:sz w:val="18"/>
              </w:rPr>
              <w:t>CogniBase core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The BU ontology content — which DocTypes/keywords/entities relate, the canonical-key mappings, stewardship decisions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The governed-correlation engine — Normalizers/CrossLinks/Gates, Query Federator, Privacy Transformer, hygiene + discovery pipeline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Use-case adapters, integration wiring, the BU knowledge graph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The reusable, maintained, evolving platform (also powers MapSnap)</w:t>
            </w:r>
          </w:p>
        </w:tc>
      </w:tr>
    </w:tbl>
    <w:p/>
    <w:p>
      <w:r>
        <w:t xml:space="preserve">The seam is the edition/adapter boundary already in Document 13: </w:t>
      </w:r>
      <w:r>
        <w:rPr>
          <w:b/>
        </w:rPr>
        <w:t>BU owns the institution-specific knowledge; the engine stays a licensed, maintained core</w:t>
      </w:r>
      <w:r>
        <w:t xml:space="preserve"> — good for BU too, who get an evolving engine rather than a fork to maintain alone.</w:t>
      </w:r>
    </w:p>
    <w:p>
      <w:r>
        <w:rPr>
          <w:b/>
        </w:rPr>
        <w:t>In practice:</w:t>
      </w:r>
    </w:p>
    <w:p>
      <w:pPr>
        <w:pStyle w:val="ListBullet"/>
      </w:pPr>
      <w:r>
        <w:rPr>
          <w:b/>
        </w:rPr>
        <w:t>Forward-deployed.</w:t>
      </w:r>
      <w:r>
        <w:t xml:space="preserve"> The CogniBase team embeds with BU's OnBase REST POC team (plumbing) and the domain stewards / AS&amp;IR (meaning) — </w:t>
      </w:r>
      <w:r>
        <w:rPr>
          <w:i/>
        </w:rPr>
        <w:t>coordinate</w:t>
      </w:r>
      <w:r>
        <w:t xml:space="preserve"> on the REST layer (§1), </w:t>
      </w:r>
      <w:r>
        <w:rPr>
          <w:i/>
        </w:rPr>
        <w:t>co-build</w:t>
      </w:r>
      <w:r>
        <w:t xml:space="preserve"> the ontology/domain layer.</w:t>
      </w:r>
    </w:p>
    <w:p>
      <w:pPr>
        <w:pStyle w:val="ListBullet"/>
      </w:pPr>
      <w:r>
        <w:rPr>
          <w:b/>
        </w:rPr>
        <w:t>Shared backlog</w:t>
      </w:r>
      <w:r>
        <w:t xml:space="preserve"> tied to Appendix B (Ontology Investigation, Studio Foundation, Agent Workflow POC, facilities/work-order correlation, lake/semantic feeds).</w:t>
      </w:r>
    </w:p>
    <w:p>
      <w:pPr>
        <w:pStyle w:val="ListBullet"/>
      </w:pPr>
      <w:r>
        <w:rPr>
          <w:b/>
        </w:rPr>
        <w:t>BU contributes</w:t>
      </w:r>
      <w:r>
        <w:t xml:space="preserve"> domain knowledge + stewardship authority (Documents 17, 18); </w:t>
      </w:r>
      <w:r>
        <w:rPr>
          <w:b/>
        </w:rPr>
        <w:t>CogniBase contributes</w:t>
      </w:r>
      <w:r>
        <w:t xml:space="preserve"> the engine + OnBase depth.</w:t>
      </w:r>
    </w:p>
    <w:p>
      <w:r>
        <w:rPr>
          <w:b/>
        </w:rPr>
        <w:t>Why co-development de-risks a lean vendor.</w:t>
      </w:r>
      <w:r>
        <w:t xml:space="preserve"> A fair sponsor concern is key-person risk. Co-development is the answer: it </w:t>
      </w:r>
      <w:r>
        <w:rPr>
          <w:b/>
        </w:rPr>
        <w:t>transfers operating knowledge to BU as the work proceeds</w:t>
      </w:r>
      <w:r>
        <w:t>, so BU is never dependent on one person — while the core engine remains licensed, supported, and portable (open exit, plain-file artefacts). The model turns the small-vendor concern from a risk into a structured strength.</w:t>
      </w:r>
    </w:p>
    <w:p>
      <w:pPr>
        <w:ind w:left="432"/>
      </w:pPr>
      <w:r>
        <w:rPr>
          <w:i/>
          <w:color w:val="606060"/>
        </w:rPr>
        <w:t>The engagement is designed to prove value in BU's own terms, on BU's own fabric, with a clean exit — the most credible posture for a partner to a "we build in-house" institution.</w:t>
      </w:r>
    </w:p>
    <w:p>
      <w:r>
        <w:rPr>
          <w:i/>
        </w:rPr>
        <w:t>Document 16 of 18 · Frame A · CogniBase BU-Aligned Library v2 · generated 2026-06-28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CogniBase — BU-Aligned Document Library</dc:title>
  <dc:subject/>
  <dc:creator>Renne Santiago</dc:creator>
  <cp:keywords/>
  <dc:description>generated by python-docx</dc:description>
  <cp:lastModifiedBy>Renne Santiago</cp:lastModifiedBy>
  <cp:revision>1</cp:revision>
  <dcterms:created xsi:type="dcterms:W3CDTF">2013-12-23T23:15:00Z</dcterms:created>
  <dcterms:modified xsi:type="dcterms:W3CDTF">2013-12-23T23:15:00Z</dcterms:modified>
  <cp:category>Authored by Renne Santiago</cp:category>
</cp:coreProperties>
</file>