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Appendix B: Alignment to BU's 2026 Roadmap (Four Lanes)</w:t>
      </w:r>
    </w:p>
    <w:p>
      <w:r>
        <w:rPr>
          <w:i/>
        </w:rPr>
        <w:t>Appendix B · BU-Aligned Library v2 · Renne Santiago</w:t>
      </w:r>
    </w:p>
    <w:p>
      <w:r>
        <w:rPr>
          <w:i/>
        </w:rPr>
        <w:t>CogniBase is not a net-new initiative competing for budget — it advances items already on BU's funded 2026 roadmap. This appendix crosswalks CogniBase to each lane.</w:t>
      </w:r>
    </w:p>
    <w:p>
      <w:pPr>
        <w:pStyle w:val="Heading2"/>
      </w:pPr>
      <w:r>
        <w:rPr>
          <w:color w:val="CC0000"/>
        </w:rPr>
        <w:t>B.1 Why this appendix</w:t>
      </w:r>
    </w:p>
    <w:p>
      <w:r>
        <w:t xml:space="preserve">The strongest argument to a sponsor is not "fund something new" — it is </w:t>
      </w:r>
      <w:r>
        <w:rPr>
          <w:b/>
        </w:rPr>
        <w:t>"fund something that accelerates work you have already prioritized."</w:t>
      </w:r>
      <w:r>
        <w:t xml:space="preserve"> BU's 2026 roadmap is published in four lanes: </w:t>
      </w:r>
      <w:r>
        <w:rPr>
          <w:b/>
        </w:rPr>
        <w:t>AI Engineering, Data Engineering, Enterprise Architecture, and Essential Services.</w:t>
      </w:r>
      <w:r>
        <w:t xml:space="preserve"> This appendix maps CogniBase onto specific line items in each, with an honest read of where the fit is strong and where it is only supporting.</w:t>
      </w:r>
    </w:p>
    <w:p>
      <w:pPr>
        <w:ind w:left="432"/>
      </w:pPr>
      <w:r>
        <w:rPr>
          <w:i/>
          <w:color w:val="606060"/>
        </w:rPr>
        <w:t>Source note: roadmap items are taken from BU's published AI &amp; Data Engineering roadmap (four-lane crawl, 2026-06-27). The live roadmap is a tabbed, evolving page — these mappings should be re-confirmed against it before any proposal.</w:t>
      </w:r>
    </w:p>
    <w:p>
      <w:pPr>
        <w:pStyle w:val="Heading2"/>
      </w:pPr>
      <w:r>
        <w:rPr>
          <w:color w:val="CC0000"/>
        </w:rPr>
        <w:t>B.2 Fit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Lane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CogniBase fit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 Strongest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"Ontology Investigation" is practically a CogniBase brief; MCP-native; document 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 Strong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 ingestion + semantic layer + catalog + profiling all have CogniBase/MapSnap roles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Enterprise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 Strong &amp; concrete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Work-order/asset, SIS/Jenzabar/mainframe migration, Huron, OpenClaw, IAM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Essential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 Supporting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 ADW/BI/DBA ops — CogniBase assists migrations, isn't central (stated honestly)</w:t>
            </w:r>
          </w:p>
        </w:tc>
      </w:tr>
    </w:tbl>
    <w:p/>
    <w:p>
      <w:pPr>
        <w:pStyle w:val="Heading2"/>
      </w:pPr>
      <w:r>
        <w:rPr>
          <w:color w:val="CC0000"/>
        </w:rPr>
        <w:t>B.3 Lane 1 — AI Engineering (strongest fit)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Roadmap item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CogniBase advances it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Library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Ontology Investigation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CogniBase's governed ontology — Normalizers/CrossLinks, sanctioned correlation, knowledge-graph feed — </w:t>
            </w:r>
            <w:r>
              <w:rPr>
                <w:i/>
                <w:sz w:val="18"/>
              </w:rPr>
              <w:t>is</w:t>
            </w:r>
            <w:r>
              <w:rPr>
                <w:sz w:val="18"/>
              </w:rPr>
              <w:t xml:space="preserve"> an ontology investigation, grounded in OnBase + the systems federation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2, 15,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TerrierAI Assistant Pilot (OpenClaw)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registers as an MCP tool the OpenClaw-based Assistant calls for OnBase questions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Migrate to MCP Gateway / MCP Gateway (infra)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CogniBase publishes to the </w:t>
            </w:r>
            <w:r>
              <w:rPr>
                <w:rFonts w:ascii="Consolas" w:hAnsi="Consolas"/>
                <w:sz w:val="18"/>
              </w:rPr>
              <w:t>mcp-gateway-registry</w:t>
            </w:r>
            <w:r>
              <w:rPr>
                <w:sz w:val="18"/>
              </w:rPr>
              <w:t>; native, governed tool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11, 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TerrierAI Studio (document/data processing)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intelligence + RAG over OnBase with citations and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5, 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Code Generation – Data Engineering / Claude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MapSnap + CogniBase schema discovery accelerates pipeline/code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Appendix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Consulting Partner AI Landscape/Roadmap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named, RFP-shaped entry point for this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16</w:t>
            </w:r>
          </w:p>
        </w:tc>
      </w:tr>
    </w:tbl>
    <w:p/>
    <w:p>
      <w:pPr>
        <w:pStyle w:val="Heading2"/>
      </w:pPr>
      <w:r>
        <w:rPr>
          <w:color w:val="CC0000"/>
        </w:rPr>
        <w:t>B.4 Lane 2 — Data Engineering (strong fit)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Roadmap item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CogniBase advances it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Library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Lake ingestion targets</w:t>
            </w:r>
            <w:r>
              <w:rPr>
                <w:sz w:val="18"/>
              </w:rPr>
              <w:t xml:space="preserve"> (Campus Solutions/SIS, SAP, Kuali, Huron, Blackbaud, StarRez, 25Live, Slate, Destiny One…)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CogniBase emits curated OnBase entities to Cortex; </w:t>
            </w:r>
            <w:r>
              <w:rPr>
                <w:b/>
                <w:sz w:val="18"/>
              </w:rPr>
              <w:t>MapSnap onboards the structured sources and proposes canonical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15, 18; Appendix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Automated xForm Processing · Data Profiling · Data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AutoPDF capture/extract + CogniBase hygiene pipeline (profiling, PII detection, validation)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9; Appendix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Insights: Cube Semantic Layer POC · Strategic KPIs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CogniBase's sanctioned relationships &amp; canonical terms feed Lexicon/Cube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Infrastructure: OpenMetadata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provenance/lineage aligns with the catalog; learned items carry source + steward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TerrierData Connect (move off SnapLogic) · BU Message Bus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CogniBase's job — but its open-standards, event-friendly posture complements rather than competes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4, 13</w:t>
            </w:r>
          </w:p>
        </w:tc>
      </w:tr>
    </w:tbl>
    <w:p/>
    <w:p>
      <w:pPr>
        <w:pStyle w:val="Heading2"/>
      </w:pPr>
      <w:r>
        <w:rPr>
          <w:color w:val="CC0000"/>
        </w:rPr>
        <w:t>B.5 Lane 3 — Enterprise Architecture (strong, concrete fit)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Roadmap item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CogniBase advances it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Library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Work Order &amp; Asset Management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FacilitiesOS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Governed correlation across the facilities cluster (CAMMS/PMWeb/25Live/FMS) + OnBase facilities 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SIS Stabilization · Jenzabar Retirement · Mainframe 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MapSnap schema archaeology turns undocumented legacy schemas into plain-English, join-aware maps for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Appendix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Huron IRB · Huron Grants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Research-admin document correlation — Tier-B/C bounded (gated; IRB excluded)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OpenClaw AI Assistant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as the governed OnBase tool behind the Assistant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RightCrowd PIAM · SIS IAM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Identity alignment on </w:t>
            </w:r>
            <w:r>
              <w:rPr>
                <w:b/>
                <w:sz w:val="18"/>
              </w:rPr>
              <w:t>BUID / Entra ID</w:t>
            </w:r>
            <w:r>
              <w:rPr>
                <w:sz w:val="18"/>
              </w:rPr>
              <w:t>; CogniBase honors OnBase ACLs and the persona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 7,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(OnBase — the ECM beneath many of these)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CogniBase's home; the layer that makes OnBase content institutional 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</w:tr>
    </w:tbl>
    <w:p/>
    <w:p>
      <w:pPr>
        <w:pStyle w:val="Heading2"/>
      </w:pPr>
      <w:r>
        <w:rPr>
          <w:color w:val="CC0000"/>
        </w:rPr>
        <w:t>B.6 Lane 4 — Essential Services (supporting only — stated honestly)</w:t>
      </w:r>
    </w:p>
    <w:p>
      <w:r>
        <w:t xml:space="preserve">This lane is traditional data-warehousing, BI-platform, and database-administration operations (ADW enhancements, MicroStrategy migration/re-licensing, </w:t>
      </w:r>
      <w:r>
        <w:rPr>
          <w:i/>
        </w:rPr>
        <w:t>Evaluate CoPilot for Power BI</w:t>
      </w:r>
      <w:r>
        <w:t xml:space="preserve">, mainframe→SQL/Coldstore archive, SQL Server upgrades). </w:t>
      </w:r>
      <w:r>
        <w:rPr>
          <w:b/>
        </w:rPr>
        <w:t>CogniBase is not central here</w:t>
      </w:r>
      <w:r>
        <w:t>, and the document should not pretend otherwise. Its only honest roles are:</w:t>
      </w:r>
    </w:p>
    <w:p>
      <w:pPr>
        <w:pStyle w:val="ListBullet"/>
      </w:pPr>
      <w:r>
        <w:rPr>
          <w:b/>
        </w:rPr>
        <w:t>Migration assistance</w:t>
      </w:r>
      <w:r>
        <w:t xml:space="preserve"> — MapSnap mapping legacy ADW / MicroStrategy / mainframe schemas during rehost and archive work.</w:t>
      </w:r>
    </w:p>
    <w:p>
      <w:pPr>
        <w:pStyle w:val="ListBullet"/>
      </w:pPr>
      <w:r>
        <w:rPr>
          <w:b/>
        </w:rPr>
        <w:t>A forward direction</w:t>
      </w:r>
      <w:r>
        <w:t xml:space="preserve"> — CogniBase's governed semantic layer is the modern, AI-native counterpart to the legacy BI stack BU is migrating — a </w:t>
      </w:r>
      <w:r>
        <w:rPr>
          <w:i/>
        </w:rPr>
        <w:t>destination</w:t>
      </w:r>
      <w:r>
        <w:t>, not a like-for-like replacement.</w:t>
      </w:r>
    </w:p>
    <w:p>
      <w:r>
        <w:t>Claiming more than this in Lane 4 would be exactly the kind of overstated affinity the rest of this library argues against.</w:t>
      </w:r>
    </w:p>
    <w:p>
      <w:pPr>
        <w:pStyle w:val="Heading2"/>
      </w:pPr>
      <w:r>
        <w:rPr>
          <w:color w:val="CC0000"/>
        </w:rPr>
        <w:t>B.7 Summary</w:t>
      </w:r>
    </w:p>
    <w:p>
      <w:r>
        <w:t xml:space="preserve">CogniBase maps </w:t>
      </w:r>
      <w:r>
        <w:rPr>
          <w:b/>
        </w:rPr>
        <w:t>most strongly to AI Engineering</w:t>
      </w:r>
      <w:r>
        <w:t xml:space="preserve"> (where </w:t>
      </w:r>
      <w:r>
        <w:rPr>
          <w:i/>
        </w:rPr>
        <w:t>Ontology Investigation</w:t>
      </w:r>
      <w:r>
        <w:t xml:space="preserve"> is practically its charter), </w:t>
      </w:r>
      <w:r>
        <w:rPr>
          <w:b/>
        </w:rPr>
        <w:t>concretely to Data Engineering and Enterprise Architecture</w:t>
      </w:r>
      <w:r>
        <w:t xml:space="preserve"> (lake ingestion, semantic layer, facilities/asset, legacy-migration archaeology, OpenClaw, IAM), and is </w:t>
      </w:r>
      <w:r>
        <w:rPr>
          <w:b/>
        </w:rPr>
        <w:t>supporting-only in Essential Services.</w:t>
      </w:r>
      <w:r>
        <w:t xml:space="preserve"> The sponsor's takeaway: funding CogniBase advances roughly a dozen items </w:t>
      </w:r>
      <w:r>
        <w:rPr>
          <w:i/>
        </w:rPr>
        <w:t>already on BU's prioritized roadmap</w:t>
      </w:r>
      <w:r>
        <w:t xml:space="preserve"> — it is an accelerator of the plan, not an addition to it.</w:t>
      </w:r>
    </w:p>
    <w:p>
      <w:pPr>
        <w:pStyle w:val="Heading2"/>
      </w:pPr>
      <w:r>
        <w:rPr>
          <w:color w:val="CC0000"/>
        </w:rPr>
        <w:t>B.8 A tandem-development reading</w:t>
      </w:r>
    </w:p>
    <w:p>
      <w:r>
        <w:t xml:space="preserve">Because these are </w:t>
      </w:r>
      <w:r>
        <w:rPr>
          <w:i/>
        </w:rPr>
        <w:t>shared</w:t>
      </w:r>
      <w:r>
        <w:t xml:space="preserve"> objectives, the natural way to pursue them is </w:t>
      </w:r>
      <w:r>
        <w:rPr>
          <w:b/>
        </w:rPr>
        <w:t>together.</w:t>
      </w:r>
      <w:r>
        <w:t xml:space="preserve"> The lane items above double as a </w:t>
      </w:r>
      <w:r>
        <w:rPr>
          <w:b/>
        </w:rPr>
        <w:t>co-development backlog</w:t>
      </w:r>
      <w:r>
        <w:t xml:space="preserve"> — Ontology Investigation, Studio Foundation, Agent Workflow POC, the facilities/work-order correlation, and the lake/semantic feeds are all candidates for a governed tandem build in which </w:t>
      </w:r>
      <w:r>
        <w:rPr>
          <w:b/>
        </w:rPr>
        <w:t>BU owns the institution-specific ontology and CogniBase contributes the licensed engine.</w:t>
      </w:r>
      <w:r>
        <w:t xml:space="preserve"> See </w:t>
      </w:r>
      <w:r>
        <w:rPr>
          <w:b/>
        </w:rPr>
        <w:t>Document 16 §7 (Co-Development Model)</w:t>
      </w:r>
      <w:r>
        <w:t xml:space="preserve"> for the ownership split and how co-development de-risks a lean vendor through skills transfer.</w:t>
      </w:r>
    </w:p>
    <w:p>
      <w:pPr>
        <w:ind w:left="432"/>
      </w:pPr>
      <w:r>
        <w:rPr>
          <w:i/>
          <w:color w:val="606060"/>
        </w:rPr>
        <w:t>Cross-references: Document 1 (vision alignment), Document 16 (pilot, engagement &amp; co-development), Document 18 (systems federation), Appendix A (MapSnap/AutoPDF tandem).</w:t>
      </w:r>
    </w:p>
    <w:p>
      <w:r>
        <w:rPr>
          <w:i/>
        </w:rPr>
        <w:t>Appendix B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