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C0000"/>
          <w:sz w:val="40"/>
        </w:rPr>
        <w:t>CogniBase for Boston University</w:t>
      </w:r>
    </w:p>
    <w:p>
      <w:pPr>
        <w:pStyle w:val="Heading3"/>
      </w:pPr>
      <w:r>
        <w:rPr>
          <w:color w:val="CC0000"/>
        </w:rPr>
        <w:t>The OnBase domain layer for your data &amp; AI engineering teams</w:t>
      </w:r>
    </w:p>
    <w:p>
      <w:r>
        <w:rPr>
          <w:i/>
        </w:rPr>
        <w:t>Quiddity Innovations — draft brief (internal; becomes external when you choose to engage)</w:t>
      </w:r>
    </w:p>
    <w:p>
      <w:r>
        <w:rPr>
          <w:b/>
        </w:rPr>
        <w:t>The problem.</w:t>
      </w:r>
      <w:r>
        <w:t xml:space="preserve"> BU runs Hyland OnBase across thousands of tables with no enforced foreign keys, cryptic names (`hsi.itemdata`), and configuration locked inside `.expk` packages. A team can build REST plumbing against the Hyland API quickly — but knowing </w:t>
      </w:r>
      <w:r>
        <w:rPr>
          <w:i/>
        </w:rPr>
        <w:t>where the checks live</w:t>
      </w:r>
      <w:r>
        <w:t xml:space="preserve">, </w:t>
      </w:r>
      <w:r>
        <w:rPr>
          <w:i/>
        </w:rPr>
        <w:t>how AP invoices link to vendors</w:t>
      </w:r>
      <w:r>
        <w:t xml:space="preserve">, and </w:t>
      </w:r>
      <w:r>
        <w:rPr>
          <w:i/>
        </w:rPr>
        <w:t>which keyword types matter for which process</w:t>
      </w:r>
      <w:r>
        <w:t xml:space="preserve"> takes deep OnBase domain experience. That domain layer is the hard part.</w:t>
      </w:r>
    </w:p>
    <w:p>
      <w:r>
        <w:rPr>
          <w:b/>
        </w:rPr>
        <w:t>What CogniBase is.</w:t>
      </w:r>
      <w:r>
        <w:t xml:space="preserve"> A vendor-neutral, local-first OnBase intelligence tool that combines:</w:t>
      </w:r>
    </w:p>
    <w:p>
      <w:pPr>
        <w:pStyle w:val="ListBullet"/>
      </w:pPr>
      <w:r>
        <w:rPr>
          <w:b/>
        </w:rPr>
        <w:t>Schema map</w:t>
      </w:r>
      <w:r>
        <w:t xml:space="preserve"> — full OnBase schema (live via Unity/REST or from `.expk`), with inferred relationships (a prior run produced 34 manual-derived + 6,167 inferred soft FKs).</w:t>
      </w:r>
    </w:p>
    <w:p>
      <w:pPr>
        <w:pStyle w:val="ListBullet"/>
      </w:pPr>
      <w:r>
        <w:rPr>
          <w:b/>
        </w:rPr>
        <w:t>Three-corpus RAG</w:t>
      </w:r>
      <w:r>
        <w:t xml:space="preserve"> — Operational Data / OnBase Configuration / Solution Documentation kept separate so PII never leaks into admin answers.</w:t>
      </w:r>
    </w:p>
    <w:p>
      <w:pPr>
        <w:pStyle w:val="ListBullet"/>
      </w:pPr>
      <w:r>
        <w:rPr>
          <w:b/>
        </w:rPr>
        <w:t>Query Federator</w:t>
      </w:r>
      <w:r>
        <w:t xml:space="preserve"> — joins across prefix-aliased keyword types (`AP_Name` vs `HR_Name`) that OnBase Custom Queries cannot.</w:t>
      </w:r>
    </w:p>
    <w:p>
      <w:pPr>
        <w:pStyle w:val="ListBullet"/>
      </w:pPr>
      <w:r>
        <w:rPr>
          <w:b/>
        </w:rPr>
        <w:t>Pluggable LLMs</w:t>
      </w:r>
      <w:r>
        <w:t xml:space="preserve"> — Claude, OpenAI, Gemini, or local Ollama; checkbox-active, zero hardcoded.</w:t>
      </w:r>
    </w:p>
    <w:p>
      <w:pPr>
        <w:pStyle w:val="ListBullet"/>
      </w:pPr>
      <w:r>
        <w:rPr>
          <w:b/>
        </w:rPr>
        <w:t>Compliance by construction</w:t>
      </w:r>
      <w:r>
        <w:t xml:space="preserve"> — five-layer access model, k-anonymity floor, Privacy Transformer, and an L1–L4 audit trail.</w:t>
      </w:r>
    </w:p>
    <w:p>
      <w:r>
        <w:rPr>
          <w:b/>
        </w:rPr>
        <w:t>Why it fits BU's architecture (the price of entry — already met or in progress):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BU 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CogniBase</w:t>
            </w:r>
          </w:p>
        </w:tc>
      </w:tr>
      <w:tr>
        <w:tc>
          <w:tcPr>
            <w:tcW w:type="dxa" w:w="4320"/>
          </w:tcPr>
          <w:p>
            <w:r/>
            <w:r>
              <w:t>Open standards, MCP-native</w:t>
            </w:r>
          </w:p>
        </w:tc>
        <w:tc>
          <w:tcPr>
            <w:tcW w:type="dxa" w:w="4320"/>
          </w:tcPr>
          <w:p>
            <w:r/>
            <w:r>
              <w:t xml:space="preserve">RAG today; </w:t>
            </w:r>
            <w:r>
              <w:rPr>
                <w:b/>
              </w:rPr>
              <w:t>MCP tool wrapper</w:t>
            </w:r>
            <w:r>
              <w:t xml:space="preserve"> in progress (natively callable by Nexus/Regent)</w:t>
            </w:r>
          </w:p>
        </w:tc>
      </w:tr>
      <w:tr>
        <w:tc>
          <w:tcPr>
            <w:tcW w:type="dxa" w:w="4320"/>
          </w:tcPr>
          <w:p>
            <w:r/>
            <w:r>
              <w:t>No per-seat, freedom to leave</w:t>
            </w:r>
          </w:p>
        </w:tc>
        <w:tc>
          <w:tcPr>
            <w:tcW w:type="dxa" w:w="4320"/>
          </w:tcPr>
          <w:p>
            <w:r/>
            <w:r>
              <w:t>Plain-file artefacts; open exit</w:t>
            </w:r>
          </w:p>
        </w:tc>
      </w:tr>
      <w:tr>
        <w:tc>
          <w:tcPr>
            <w:tcW w:type="dxa" w:w="4320"/>
          </w:tcPr>
          <w:p>
            <w:r/>
            <w:r>
              <w:t>Identity-aware &amp; auditable (Entra ID)</w:t>
            </w:r>
          </w:p>
        </w:tc>
        <w:tc>
          <w:tcPr>
            <w:tcW w:type="dxa" w:w="4320"/>
          </w:tcPr>
          <w:p>
            <w:r/>
            <w:r>
              <w:t>L1–L4 audit today; Entra ID adapter planned</w:t>
            </w:r>
          </w:p>
        </w:tc>
      </w:tr>
      <w:tr>
        <w:tc>
          <w:tcPr>
            <w:tcW w:type="dxa" w:w="4320"/>
          </w:tcPr>
          <w:p>
            <w:r/>
            <w:r>
              <w:t>FERPA guardrails</w:t>
            </w:r>
          </w:p>
        </w:tc>
        <w:tc>
          <w:tcPr>
            <w:tcW w:type="dxa" w:w="4320"/>
          </w:tcPr>
          <w:p>
            <w:r/>
            <w:r>
              <w:t>Gates + Privacy Transformer; regulated data never leaves the box</w:t>
            </w:r>
          </w:p>
        </w:tc>
      </w:tr>
      <w:tr>
        <w:tc>
          <w:tcPr>
            <w:tcW w:type="dxa" w:w="4320"/>
          </w:tcPr>
          <w:p>
            <w:r/>
            <w:r>
              <w:t>Cloud-native / ARM / K8s</w:t>
            </w:r>
          </w:p>
        </w:tc>
        <w:tc>
          <w:tcPr>
            <w:tcW w:type="dxa" w:w="4320"/>
          </w:tcPr>
          <w:p>
            <w:r/>
            <w:r>
              <w:t>Docker today; ARM64 + Helm planned</w:t>
            </w:r>
          </w:p>
        </w:tc>
      </w:tr>
    </w:tbl>
    <w:p/>
    <w:p>
      <w:r>
        <w:rPr>
          <w:b/>
        </w:rPr>
        <w:t>How we'd work together.</w:t>
      </w:r>
      <w:r>
        <w:t xml:space="preserve"> Coordinate, don't duplicate. Your REST POC team owns departmental DocType inventory and credentials; CogniBase brings the OnBase domain modelling, Normalizers, Gates, Query Federator, and the agent/RAG layer on top of the same Hyland API. Forward-deployed, lean, embedded.</w:t>
      </w:r>
    </w:p>
    <w:p>
      <w:r>
        <w:rPr>
          <w:b/>
        </w:rPr>
        <w:t>The shape of a first step.</w:t>
      </w:r>
      <w:r>
        <w:t xml:space="preserve"> One IT request issues credentials usable by both teams against a shared OnBase </w:t>
      </w:r>
      <w:r>
        <w:rPr>
          <w:b/>
        </w:rPr>
        <w:t>test</w:t>
      </w:r>
      <w:r>
        <w:t xml:space="preserve"> instance. We demonstrate a real cross-DocType question answered via the Query Federator. No licence, no lock-in, pilot first.</w:t>
      </w:r>
    </w:p>
    <w:p>
      <w:r>
        <w:rPr>
          <w:b/>
        </w:rPr>
        <w:t>Differentiation.</w:t>
      </w:r>
      <w:r>
        <w:t xml:space="preserve"> This is the operational / IT-data / records domain — complementary to, not competing with, an admissions-focused frontier partner.</w:t>
      </w:r>
    </w:p>
    <w:p>
      <w:r>
        <w:rPr>
          <w:i/>
        </w:rPr>
        <w:t>Contact: Renne Santiago, Quiddity Innovations — quiddityinnovations.com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