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Digitization Cost Tool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2026-06-29    •    Source: </w:t>
      </w:r>
      <w:r>
        <w:rPr>
          <w:rFonts w:ascii="Consolas" w:hAnsi="Consolas"/>
        </w:rPr>
        <w:t>C:\Users\renne\Downloads\DIGITIZATION COSTS\INTRO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Digitization Cost Comparison Tool — Document Imaging Pricing Calculator</w:t>
      </w:r>
    </w:p>
    <w:p>
      <w:pPr>
        <w:pStyle w:val="Heading2"/>
      </w:pPr>
      <w:r>
        <w:t>What is the Digitization Cost Tool?</w:t>
      </w:r>
    </w:p>
    <w:p>
      <w:r>
        <w:t xml:space="preserve">The Digitization Cost Comparison Tool is a single-file, client-side web application built by </w:t>
      </w:r>
      <w:r>
        <w:rPr>
          <w:b/>
        </w:rPr>
        <w:t>Quiddity Innovations</w:t>
      </w:r>
      <w:r>
        <w:t xml:space="preserve"> for </w:t>
      </w:r>
      <w:r>
        <w:rPr>
          <w:b/>
        </w:rPr>
        <w:t>Boston University's Document Imaging &amp; Services (OnBase)</w:t>
      </w:r>
      <w:r>
        <w:t xml:space="preserve"> team. It estimates and compares what it costs a BU department to digitize its physical records three different ways, side by side, and produces a clean, signed budgetary report.</w:t>
      </w:r>
    </w:p>
    <w:p>
      <w:r>
        <w:t xml:space="preserve">Everything runs in the browser from one </w:t>
      </w:r>
      <w:r>
        <w:rPr>
          <w:rFonts w:ascii="Consolas" w:hAnsi="Consolas"/>
          <w:sz w:val="19"/>
        </w:rPr>
        <w:t>index.html</w:t>
      </w:r>
      <w:r>
        <w:t xml:space="preserve"> file — no server, no database, no internet, and no installation. A department enters its records profile (boxes, pages, condition, indexing depth), and the tool instantly computes line-item costs and a calendar timeline for each of three approaches, highlights the cheapest, and generates a print-ready PDF report.</w:t>
      </w:r>
    </w:p>
    <w:p>
      <w:pPr>
        <w:pStyle w:val="Heading2"/>
      </w:pPr>
      <w:r>
        <w:t>The Problem It Solves</w:t>
      </w:r>
    </w:p>
    <w:p>
      <w:pPr>
        <w:pStyle w:val="ListBullet"/>
      </w:pPr>
      <w:r>
        <w:t>Departments have no easy way to see what digitizing their records actually costs before committing budget.</w:t>
      </w:r>
    </w:p>
    <w:p>
      <w:pPr>
        <w:pStyle w:val="ListBullet"/>
      </w:pPr>
      <w:r>
        <w:t>The current two-step "hybrid" practice (scan with a vendor, then index into OnBase later) hides duplicated effort and rework that make it more expensive than it looks.</w:t>
      </w:r>
    </w:p>
    <w:p>
      <w:pPr>
        <w:pStyle w:val="ListBullet"/>
      </w:pPr>
      <w:r>
        <w:t xml:space="preserve">Document Imaging &amp; Services needed defensible, source-backed evidence that scanning </w:t>
      </w:r>
      <w:r>
        <w:rPr>
          <w:b/>
        </w:rPr>
        <w:t>directly into OnBase in-house</w:t>
      </w:r>
      <w:r>
        <w:t xml:space="preserve"> usually saves time and money.</w:t>
      </w:r>
    </w:p>
    <w:p>
      <w:pPr>
        <w:pStyle w:val="ListBullet"/>
      </w:pPr>
      <w:r>
        <w:t>Vendor quotes are slow to obtain; a planning-level estimate is needed up front for the budget conversation.</w:t>
      </w:r>
    </w:p>
    <w:p>
      <w:pPr>
        <w:pStyle w:val="Heading2"/>
      </w:pPr>
      <w:r>
        <w:t>The Three Scenarios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Approach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 — Vendor Full Service</w:t>
            </w:r>
          </w:p>
        </w:tc>
        <w:tc>
          <w:tcPr>
            <w:tcW w:type="dxa" w:w="4320"/>
          </w:tcPr>
          <w:p>
            <w:r>
              <w:t>A commercial scanning bureau (SecureScan / Emerald / Record Nations class) performs every step off-site; BU only procures, manages, and imports into OnBase.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 — Hybrid (Two-Step)</w:t>
            </w:r>
          </w:p>
        </w:tc>
        <w:tc>
          <w:tcPr>
            <w:tcW w:type="dxa" w:w="4320"/>
          </w:tcPr>
          <w:p>
            <w:r>
              <w:t>A per-service matrix lets you assign each task (prep, scan, index, OCR, storage...) to the 3rd party or to BU students. Files land outside OnBase first, so a second project (DRIP import + indexing) is always required. Models today's two-tier PaperVision practice.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 — In-House Direct-to-OnBase</w:t>
            </w:r>
          </w:p>
        </w:tc>
        <w:tc>
          <w:tcPr>
            <w:tcW w:type="dxa" w:w="4320"/>
          </w:tcPr>
          <w:p>
            <w:r>
              <w:t>Students prep, scan, and index in a single pass directly into an OnBase scan queue — one project, no share folder, no second indexing pass.</w:t>
            </w:r>
          </w:p>
        </w:tc>
      </w:tr>
    </w:tbl>
    <w:p/>
    <w:p>
      <w:r>
        <w:t>All three are always calculated on the identical page volume and document profile, so the comparison is apples-to-apples.</w:t>
      </w:r>
    </w:p>
    <w:p>
      <w:pPr>
        <w:pStyle w:val="Heading2"/>
      </w:pPr>
      <w:r>
        <w:t>How It Works</w:t>
      </w:r>
    </w:p>
    <w:p>
      <w:r>
        <w:t xml:space="preserve">The tool reads a records profile and a configurable rate table, then computes each scenario as a sum of itemized line items. Vendor-assigned work is priced at per-page / per-trip market rates; BU-assigned work is priced as </w:t>
      </w:r>
      <w:r>
        <w:rPr>
          <w:rFonts w:ascii="Consolas" w:hAnsi="Consolas"/>
          <w:sz w:val="19"/>
        </w:rPr>
        <w:t>student-hours x wage</w:t>
      </w:r>
      <w:r>
        <w:t>, where hours are derived from page volume and throughput planning factors. Monthly items (capture software, scanner rental, hosted/box storage) are charged for the months the relevant phase runs. An effective cost-per-page and a calendar duration are derived for each scenario, with a budget check and a "best value within budget" recommendation when a budget is entered.</w:t>
      </w:r>
    </w:p>
    <w:p>
      <w:r>
        <w:t xml:space="preserve">A key teaching point is baked in: because student labor is billed by the hour and the hours are fixed by volume, </w:t>
      </w:r>
      <w:r>
        <w:rPr>
          <w:b/>
        </w:rPr>
        <w:t>adding students does not raise the total</w:t>
      </w:r>
      <w:r>
        <w:t xml:space="preserve"> — it just shortens the timeline and the per-student load. A staffing-sensitivity table (1-5 students) demonstrates this live.</w:t>
      </w:r>
    </w:p>
    <w:p>
      <w:pPr>
        <w:pStyle w:val="Heading2"/>
      </w:pPr>
      <w:r>
        <w:t>Who Uses It?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they interact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Departments / Requestors</w:t>
            </w:r>
          </w:p>
        </w:tc>
        <w:tc>
          <w:tcPr>
            <w:tcW w:type="dxa" w:w="4320"/>
          </w:tcPr>
          <w:p>
            <w:r>
              <w:t>Enter their records profile and read the comparison; receive the signed PDF report.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Imaging &amp; Services staff</w:t>
            </w:r>
          </w:p>
        </w:tc>
        <w:tc>
          <w:tcPr>
            <w:tcW w:type="dxa" w:w="4320"/>
          </w:tcPr>
          <w:p>
            <w:r>
              <w:t>Maintain unit rates and preparer list behind a password-gated Configuration tab; sign the report.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 IS&amp;T</w:t>
            </w:r>
          </w:p>
        </w:tc>
        <w:tc>
          <w:tcPr>
            <w:tcW w:type="dxa" w:w="4320"/>
          </w:tcPr>
          <w:p>
            <w:r>
              <w:t>Holds the enterprise OnBase license — shown as an explicit $0 line in every scenario.</w:t>
            </w:r>
          </w:p>
        </w:tc>
      </w:tr>
    </w:tbl>
    <w:p/>
    <w:p>
      <w:pPr>
        <w:pStyle w:val="Heading2"/>
      </w:pPr>
      <w:r>
        <w:t>Current Build Status (June 2026)</w:t>
      </w:r>
    </w:p>
    <w:p>
      <w:r>
        <w:t xml:space="preserve">This project is </w:t>
      </w:r>
      <w:r>
        <w:rPr>
          <w:b/>
        </w:rPr>
        <w:t>complete</w:t>
      </w:r>
      <w:r>
        <w:t xml:space="preserve"> — a finished, deliverable tool. It ships with three Word documents (User Guide, Technical Documentation, Deployment Guide) and a packaged distributable zip.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Three-scenario cost model (A / B / C)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Records profile inputs (boxes, pages, condition, indexing, OCR, destruction)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Per-document and per-bundle index basis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Hybrid per-service "who performs what" matrix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Live results: cost cards, savings banner, comparison bars, timelines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Staffing sensitivity (adding students shortens time, not cost)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Budget check + best-value recommendation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Signed, paginated, print-to-PDF report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Editable rate table + preparers (Configuration, password-gated)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Export / import config (JSON) and rates (CSV)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localStorage persistence with in-memory fallback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BU-internal vs public build toggle (presentation only)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Embedded User Guide + Technical Reference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Packaged distributable (index.html + docs + zip)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Migration to a C:\ QI standard project root</w:t>
            </w:r>
          </w:p>
        </w:tc>
        <w:tc>
          <w:tcPr>
            <w:tcW w:type="dxa" w:w="4320"/>
          </w:tcPr>
          <w:p>
            <w:r>
              <w:t>🗓️ Planned — still under Downloads</w:t>
            </w:r>
          </w:p>
        </w:tc>
      </w:tr>
      <w:tr>
        <w:tc>
          <w:tcPr>
            <w:tcW w:type="dxa" w:w="4320"/>
          </w:tcPr>
          <w:p>
            <w:r>
              <w:t>QI Brain / ecosystem integration</w:t>
            </w:r>
          </w:p>
        </w:tc>
        <w:tc>
          <w:tcPr>
            <w:tcW w:type="dxa" w:w="4320"/>
          </w:tcPr>
          <w:p>
            <w:r>
              <w:t>🗓️ Planned — standalone today</w:t>
            </w:r>
          </w:p>
        </w:tc>
      </w:tr>
    </w:tbl>
    <w:p/>
    <w:p>
      <w:pPr>
        <w:pStyle w:val="Heading2"/>
      </w:pPr>
      <w:r>
        <w:t>Honest Scope Notes</w:t>
      </w:r>
    </w:p>
    <w:p>
      <w:pPr>
        <w:pStyle w:val="ListBullet"/>
      </w:pPr>
      <w:r>
        <w:t xml:space="preserve">The Configuration </w:t>
      </w:r>
      <w:r>
        <w:rPr>
          <w:b/>
        </w:rPr>
        <w:t>password is a convenience gate, not security</w:t>
      </w:r>
      <w:r>
        <w:t xml:space="preserve"> — the tool holds no sensitive data, and the </w:t>
      </w:r>
      <w:r>
        <w:rPr>
          <w:rFonts w:ascii="Consolas" w:hAnsi="Consolas"/>
          <w:sz w:val="19"/>
        </w:rPr>
        <w:t>BU_INTERNAL_ONLY</w:t>
      </w:r>
      <w:r>
        <w:t xml:space="preserve"> flag is a presentation label, not authentication. Real BU-only access depends on where the file is hosted.</w:t>
      </w:r>
    </w:p>
    <w:p>
      <w:pPr>
        <w:pStyle w:val="ListBullet"/>
      </w:pPr>
      <w:r>
        <w:t xml:space="preserve">Figures are a </w:t>
      </w:r>
      <w:r>
        <w:rPr>
          <w:b/>
        </w:rPr>
        <w:t>budgetary estimate, not a quote.</w:t>
      </w:r>
      <w:r>
        <w:t xml:space="preserve"> Throughput, internal-effort hours, rework %, and timelines are Document Imaging &amp; Services planning factors that should be calibrated against real project history.</w:t>
      </w:r>
    </w:p>
    <w:p>
      <w:pPr>
        <w:pStyle w:val="ListBullet"/>
      </w:pPr>
      <w:r>
        <w:t>The PaperVision capture-software default ($240/mo) is an assumption — capture licensing is quote-only and should be replaced with BU's real contract cost.</w:t>
      </w:r>
    </w:p>
    <w:p>
      <w:r>
        <w:t>---</w:t>
      </w:r>
    </w:p>
    <w:p>
      <w:r>
        <w:rPr>
          <w:i/>
          <w:color w:val="808080"/>
          <w:sz w:val="17"/>
        </w:rPr>
        <w:t>This page is editable at `C:\Users\renne\Downloads\DIGITIZATION COSTS\INTRO\status_intro.md` — save and click Refresh to update.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pPr>
        <w:pStyle w:val="Heading2"/>
      </w:pPr>
      <w:r>
        <w:t>Digitization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2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iza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digitization_architecture.svg</w:t>
      </w:r>
    </w:p>
    <w:p/>
    <w:p>
      <w:pPr>
        <w:pStyle w:val="Heading2"/>
      </w:pPr>
      <w:r>
        <w:t>Digitization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868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iza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6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digitization_flow.svg</w:t>
      </w:r>
    </w:p>
    <w:p/>
    <w:p>
      <w:r>
        <w:br w:type="page"/>
      </w:r>
    </w:p>
    <w:p>
      <w:pPr>
        <w:pStyle w:val="Heading1"/>
      </w:pPr>
      <w:r>
        <w:t>Feature Status — Business</w:t>
      </w:r>
    </w:p>
    <w:p>
      <w:pPr>
        <w:pStyle w:val="Heading2"/>
      </w:pPr>
      <w:r>
        <w:t>Cost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Three side-by-side scenarios</w:t>
            </w:r>
          </w:p>
        </w:tc>
        <w:tc>
          <w:tcPr>
            <w:tcW w:type="dxa" w:w="2880"/>
          </w:tcPr>
          <w:p>
            <w:r>
              <w:t>Compares vendor full service, a hybrid two-step path, and in-house direct-to-OnBase scanning at once, on the identical page volume and document profile.</w:t>
              <w:br/>
              <w:t>(Scenarios A / B / C are always all calculated, even when only one is expanded for editing)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Itemized line-item breakdown</w:t>
            </w:r>
          </w:p>
        </w:tc>
        <w:tc>
          <w:tcPr>
            <w:tcW w:type="dxa" w:w="2880"/>
          </w:tcPr>
          <w:p>
            <w:r>
              <w:t>Every scenario shows each cost line — scanning, prep, OCR, indexing, transport, project management — with quantity, unit, rate, and amount.</w:t>
              <w:br/>
              <w:t>(Includes explicit $0 lines so departments see what they are NOT paying for)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Lowest-cost recommendation banner</w:t>
            </w:r>
          </w:p>
        </w:tc>
        <w:tc>
          <w:tcPr>
            <w:tcW w:type="dxa" w:w="2880"/>
          </w:tcPr>
          <w:p>
            <w:r>
              <w:t>A green banner names the cheapest option and shows the dollar and percent savings versus the other two, plus weeks saved.</w:t>
              <w:br/>
              <w:t>(Falls back to an amber banner when in-house is not the cheapest for that volume)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Effective cost-per-page</w:t>
            </w:r>
          </w:p>
        </w:tc>
        <w:tc>
          <w:tcPr>
            <w:tcW w:type="dxa" w:w="2880"/>
          </w:tcPr>
          <w:p>
            <w:r>
              <w:t>Each scenario total is also expressed as an effective $/page so different-sized projects can be compared on a common basis.</w:t>
              <w:br/>
              <w:t>(total divided by page count)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Calendar duration estimate</w:t>
            </w:r>
          </w:p>
        </w:tc>
        <w:tc>
          <w:tcPr>
            <w:tcW w:type="dxa" w:w="2880"/>
          </w:tcPr>
          <w:p>
            <w:r>
              <w:t>Each scenario reports an estimated number of weeks, broken into procurement, scanning, gap, and OnBase phases.</w:t>
              <w:br/>
              <w:t>(Directional only; clearly disclaimed on the report)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Records Profile &amp; Scoping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Volume by boxes or page count</w:t>
            </w:r>
          </w:p>
        </w:tc>
        <w:tc>
          <w:tcPr>
            <w:tcW w:type="dxa" w:w="2880"/>
          </w:tcPr>
          <w:p>
            <w:r>
              <w:t>Enter banker's boxes x pages-per-box, or override with an exact total page count.</w:t>
              <w:br/>
              <w:t>(Page override wins over boxes when filled)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Per-document or per-bundle indexing</w:t>
            </w:r>
          </w:p>
        </w:tc>
        <w:tc>
          <w:tcPr>
            <w:tcW w:type="dxa" w:w="2880"/>
          </w:tcPr>
          <w:p>
            <w:r>
              <w:t>Choose how index units are counted — average pages per document, or pages per bundle when pages-per-document is unknown.</w:t>
              <w:br/>
              <w:t>(A bundle is one set sharing the same keyword values, indexed once)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Condition and indexing-depth drivers</w:t>
            </w:r>
          </w:p>
        </w:tc>
        <w:tc>
          <w:tcPr>
            <w:tcW w:type="dxa" w:w="2880"/>
          </w:tcPr>
          <w:p>
            <w:r>
              <w:t>Document condition (clean / average / complex) drives prep cost; indexing depth (basic / standard / deep) sets keyword count and indexing rates.</w:t>
              <w:br/>
              <w:t>(Both feed vendor rates and in-house throughput)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OCR, large-format, and destruction options</w:t>
            </w:r>
          </w:p>
        </w:tc>
        <w:tc>
          <w:tcPr>
            <w:tcW w:type="dxa" w:w="2880"/>
          </w:tcPr>
          <w:p>
            <w:r>
              <w:t>Toggle full-text OCR, enter large-format (blueprint/map) pages, and flag certified destruction of originals.</w:t>
              <w:br/>
              <w:t>(OCR is $0 in OnBase/capture but per-page for vendors)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Hybrid Service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Pick who performs each service</w:t>
            </w:r>
          </w:p>
        </w:tc>
        <w:tc>
          <w:tcPr>
            <w:tcW w:type="dxa" w:w="2880"/>
          </w:tcPr>
          <w:p>
            <w:r>
              <w:t>For pickup, prep, scanning, capture software, scanner equipment, OCR, indexing, QC, storage, box storage, and destruction, choose 3rd party or BU students.</w:t>
              <w:br/>
              <w:t>(Each choice re-prices that line at the appropriate vendor or student rate)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Two-step overhead modeled honestly</w:t>
            </w:r>
          </w:p>
        </w:tc>
        <w:tc>
          <w:tcPr>
            <w:tcW w:type="dxa" w:w="2880"/>
          </w:tcPr>
          <w:p>
            <w:r>
              <w:t>Because hybrid output lands outside OnBase, the tool always adds a second project, DRIP import, a rework factor, and lead supervision.</w:t>
              <w:br/>
              <w:t>(Makes the hidden cost of the two-tier PaperVision practice visible)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Staffing &amp; Budget Insight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Student labor breakdown</w:t>
            </w:r>
          </w:p>
        </w:tc>
        <w:tc>
          <w:tcPr>
            <w:tcW w:type="dxa" w:w="2880"/>
          </w:tcPr>
          <w:p>
            <w:r>
              <w:t>Shows total student cost and hours, then the hours and pay per student for the chosen team size.</w:t>
              <w:br/>
              <w:t>(Only shown for scenarios that use BU students (B and C))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Staffing sensitivity table</w:t>
            </w:r>
          </w:p>
        </w:tc>
        <w:tc>
          <w:tcPr>
            <w:tcW w:type="dxa" w:w="2880"/>
          </w:tcPr>
          <w:p>
            <w:r>
              <w:t>A 1-to-5-student table proves that adding students shortens the timeline and per-student load while the total barely moves.</w:t>
              <w:br/>
              <w:t>(Recomputes each scenario at each staffing level)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Budget check + best value</w:t>
            </w:r>
          </w:p>
        </w:tc>
        <w:tc>
          <w:tcPr>
            <w:tcW w:type="dxa" w:w="2880"/>
          </w:tcPr>
          <w:p>
            <w:r>
              <w:t>Enter a budget and the tool flags which scenarios fit, by how much, and recommends the best value within budget.</w:t>
              <w:br/>
              <w:t>(Optional; appears on both the results and the report)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Reporting &amp; Output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Signed budgetary report</w:t>
            </w:r>
          </w:p>
        </w:tc>
        <w:tc>
          <w:tcPr>
            <w:tcW w:type="dxa" w:w="2880"/>
          </w:tcPr>
          <w:p>
            <w:r>
              <w:t>One click builds a BU-letterhead report: executive summary, comparison table, hybrid assignment, why-two-step-costs-more, line items, assumptions, sources, and a signature block.</w:t>
              <w:br/>
              <w:t>(Includes a prominent 'reference estimate only' disclaimer)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Print / Save as PDF</w:t>
            </w:r>
          </w:p>
        </w:tc>
        <w:tc>
          <w:tcPr>
            <w:tcW w:type="dxa" w:w="2880"/>
          </w:tcPr>
          <w:p>
            <w:r>
              <w:t>The report paginates into letter-size pages on screen and prints or saves to PDF with an auto-built, descriptive file name.</w:t>
              <w:br/>
              <w:t>(File name derived from contact, department, preparer, date, and scenario)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Configuration &amp; Portability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Editable rate table</w:t>
            </w:r>
          </w:p>
        </w:tc>
        <w:tc>
          <w:tcPr>
            <w:tcW w:type="dxa" w:w="2880"/>
          </w:tcPr>
          <w:p>
            <w:r>
              <w:t>Document Imaging &amp; Services can edit every unit rate, wage, throughput, and planning factor behind a password gate; estimates recompute live.</w:t>
              <w:br/>
              <w:t>(Items with no published market price are tagged 'assumption')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Preparer roster</w:t>
            </w:r>
          </w:p>
        </w:tc>
        <w:tc>
          <w:tcPr>
            <w:tcW w:type="dxa" w:w="2880"/>
          </w:tcPr>
          <w:p>
            <w:r>
              <w:t>Maintain the team members who prepare analyses; the report's Prepared By field is a dropdown of default-flagged preparers.</w:t>
              <w:br/>
              <w:t>(Saved per browser; travels with the JSON export)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Export / import config and rates</w:t>
            </w:r>
          </w:p>
        </w:tc>
        <w:tc>
          <w:tcPr>
            <w:tcW w:type="dxa" w:w="2880"/>
          </w:tcPr>
          <w:p>
            <w:r>
              <w:t>Export the full configuration (rates + preparers) as JSON to share between machines, or export rates as an Excel-editable CSV.</w:t>
              <w:br/>
              <w:t>(Import accepts both JSON and CSV)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Runs anywhere, offline</w:t>
            </w:r>
          </w:p>
        </w:tc>
        <w:tc>
          <w:tcPr>
            <w:tcW w:type="dxa" w:w="2880"/>
          </w:tcPr>
          <w:p>
            <w:r>
              <w:t>A single self-contained HTML file that works from a USB stick, a shared drive, a web server, or an embed — no install, no internet.</w:t>
              <w:br/>
              <w:t>(Resilient localStorage with in-memory fallback when storage is blocked)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QI standard layout migration</w:t>
            </w:r>
          </w:p>
        </w:tc>
        <w:tc>
          <w:tcPr>
            <w:tcW w:type="dxa" w:w="2880"/>
          </w:tcPr>
          <w:p>
            <w:r>
              <w:t>Move the project from Downloads to a C:\ QI project root with the standard folder structure.</w:t>
              <w:br/>
              <w:t>(Registry family_notes flags migration pending)</w:t>
            </w:r>
          </w:p>
        </w:tc>
        <w:tc>
          <w:tcPr>
            <w:tcW w:type="dxa" w:w="2880"/>
          </w:tcPr>
          <w:p>
            <w:r>
              <w:rPr>
                <w:b/>
                <w:color w:val="0D6EA6"/>
              </w:rPr>
              <w:t>Planned</w:t>
            </w:r>
          </w:p>
        </w:tc>
      </w:tr>
    </w:tbl>
    <w:p/>
    <w:p>
      <w:r>
        <w:br w:type="page"/>
      </w:r>
    </w:p>
    <w:p>
      <w:pPr>
        <w:pStyle w:val="Heading1"/>
      </w:pPr>
      <w:r>
        <w:t>Feature Status — Developer / Technical</w:t>
      </w:r>
    </w:p>
    <w:p>
      <w:pPr>
        <w:pStyle w:val="Heading2"/>
      </w:pPr>
      <w:r>
        <w:t>Cost Model (core math)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calc() — scenario cost engine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calc(inp)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The heart of the tool. Computes page count, index units (per-doc or per-bundle), then builds Scenario A/B/C as arrays of line items via the li() helper. Returns {A,B,C,docs,unitLabel,highVol,cap,...} with totals, weeks, studentHrs, and stuCost per scenario.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gather() — read inputs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gather()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Collects every input field by id into a typed object; computes pages = override or boxes*ppb; clamps students/hpw/scanners to sane minimums; bundles the 11 hybrid select values into inp.hy.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Volume &amp; index-unit derivation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calc() head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bundleMode = idxbasis==='bundle'; docs = ceil(pages/ppbundle) in bundle mode else ceil(pages/ppd). Drives indexing line quantities for vendor and in-house paths.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Condition / depth rate selection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Maps condition-&gt;{clean,avg,complex} scan/prep rates and depth-&gt;{basic,std,deep} index rates; pages&gt;=100000 switches to v_scan_highvol. trips = max(1, ceil(boxes/40)).</w:t>
            </w:r>
          </w:p>
        </w:tc>
      </w:tr>
    </w:tbl>
    <w:p/>
    <w:p>
      <w:pPr>
        <w:pStyle w:val="Heading2"/>
      </w:pPr>
      <w:r>
        <w:t>Scenario Calculators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Scenario A — vendor full service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calc() A block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Sums vendor scanning+prep(+OCR)+indexing(+large-format); applies v_min minimum-fee adjustment; adds pickup, setup, optional hosted storage, optional destruction, plus BU procurement/PM/DRIP staff hours and the $0 OnBase license line. weeks = d_vendor_lead + d_vendor_turn.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Scenario B — hybrid per-service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calc() B block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For each hy.* choice, pushes a vendor line (rate*qty) or a BU-student line (hours*wage*fringe), accumulating buHrs. Always adds the two-step overhead: contract procurement, PM x2, DRIP config, rework (rework_pct of student hrs), and lead supervision. Monthly items priced by phase months.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Scenario C — in-house direct-to-OnBase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calc() C block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Student prep + single-pass scan+index (siTp throughput by depth) + optional hardware + OnBase scan-queue setup + single PM + optional destruction + lead supervision + $0 OnBase/OCR lines. weeks = d_queue_lead + studentHrs/cap.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In-house labor &amp; hardware sub-calc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calc() shared block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prepHrs=pages/prepTp, scanHrs=pages/t_scan, idxHrs=docs/idxTp, siHrs=pages/siTp; hw = ownScanner?0:scanners*h_scanner. fringe = 1 + fringe_pct/100. Shared by B and C.</w:t>
            </w:r>
          </w:p>
        </w:tc>
      </w:tr>
    </w:tbl>
    <w:p/>
    <w:p>
      <w:pPr>
        <w:pStyle w:val="Heading2"/>
      </w:pPr>
      <w:r>
        <w:t>Rate Table &amp;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RATE_DEFS — rate catalog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const RATE_DEFS[]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~50 rate definitions {k,l,u,d,c,s,a?}: vendor service rates, BU student labor, throughput assumptions, hardware/software, internal effort, timeline. 'a:1' flags an assumption (no published market price). Source citations stored in 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loadRates / saveRates / resetRates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loadRates() etc.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Active rates R start from RATE_DEFS defaults, overlaid with localStorage budct_rates_v2. Save reads #ratesBody inputs back into R and persists; reset clears storage and reloads defaults. Re-runs calcAndShow() if a result exists.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Password gate (hashed)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hashPass() / openConfig() / changePass()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cyrb53-style 53-bit hash; CFG_HASH is the built-in default, overridable per-browser via LS_PASSHASH. Gate is a convenience lock, not security — explicitly documented as such. Session unlock cached in sessionStorage.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Export / import rates &amp; config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exportRates() / importRates()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Export JSON ({_tool,_exported,rates,preparers}) or CSV (key,label,value,unit). Import parses JSON or CSV, merging only known keys with finite numeric values; JSON also restores the preparer roster.</w:t>
            </w:r>
          </w:p>
        </w:tc>
      </w:tr>
    </w:tbl>
    <w:p/>
    <w:p>
      <w:pPr>
        <w:pStyle w:val="Heading2"/>
      </w:pPr>
      <w:r>
        <w:t>Inputs, Persistence &amp; Preparers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Inputs persistence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saveInputs() / loadInputs() / INPUT_IDS / CHECK_IDS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Serializes ~28 text/select inputs + 4 checkboxes to localStorage budct_inputs_v2; restores on load and re-opens the last-selected scenario. A clear-on-load flag (LS_CLEAR) starts a shared machine blank while keeping rates/preparers.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Storage safety shim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IIFE memStore()/safe()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Probes localStorage/sessionStorage on boot; if a host (sandboxed iframe, private mode, SharePoint embed) throws SecurityError, transparently swaps in an in-memory store so the tool still runs for the session.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Preparer roster CRUD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loadPreparers()/savePreparers()/buildPrepDropdown()/syncPreparer()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[{name,title,email,def}] persisted to budct_preparers_v1. Default-flagged preparers populate the report's Prepared By dropdown; manual-entry option also available.</w:t>
            </w:r>
          </w:p>
        </w:tc>
      </w:tr>
    </w:tbl>
    <w:p/>
    <w:p>
      <w:pPr>
        <w:pStyle w:val="Heading2"/>
      </w:pPr>
      <w:r>
        <w:t>Results &amp; Report Rendering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calcAndShow — results view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calcAndShow()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Validates volume&gt;0, warns if hpw&gt;20 (term cap), saves inputs, runs calc(), renders summary, three big cost cards, savings/amber banner, optional budget-check card, comparison + duration bar charts, and the three scenario tables; then builds the report.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scenarioTable / staffingSweepTable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scenarioTable() / staffingSweepTable()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Per-scenario line-item table with effective $/page total row and a student-labor note. staffingSweepTable re-runs calc() at 1-5 students (plus the current value) to show total vs per-student cost/hours/duration.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buildReport — signed PDF report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buildReport()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Generates the full BU-letterhead report HTML: exec summary, comparison table, hybrid assignment matrix (WHO_TXT), why-two-step-costs-more, per-scenario line items, assumptions, sources, signature block, and the reference-estimate disclaimer.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paginateReport / printReport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paginateReport() / printReport()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Splits the report into stacked 8.5x11 'pages' with keep-with-next heading logic (PAGE_MAX=1040px). printReport temporarily swaps document.title to buildPdfName() so the browser's Save-as-PDF gets a descriptive default name.</w:t>
            </w:r>
          </w:p>
        </w:tc>
      </w:tr>
    </w:tbl>
    <w:p/>
    <w:p>
      <w:pPr>
        <w:pStyle w:val="Heading2"/>
      </w:pPr>
      <w:r>
        <w:t>Embedded Docs &amp; Build Tooling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Embedded User Guide + Technical Reference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USER_GUIDE_HTML / TECH_DOC_HTML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Two large HTML template strings injected into the Help and Configuration tabs at boot, kept in sync with the .docx deliverables. Cover methodology, default rates, a worked example, hosting, and limitations.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BU-internal vs public build toggle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const BU_INTERNAL_ONLY / applyAccessMode()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Single boolean toggles a red 'BU Internal' banner and a body class. Documented as presentation/policy only, NOT authentication — real access control is enforced by where the file is hosted.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build_package.py — distributable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build_package.py :: (script)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Generates web-server-ready index.html from the canonical source, builds the Deployment &amp; Hosting Guide .docx, and zips index.html + User Guide + Deployment Guide into dist/BU_Digitization_Cost_Tool_v3.1_internal.zip.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make_docs.py — Word documentation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make_docs.py :: (script)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Produces the User Guide, Technical Documentation, and Deployment Guide .docx files via python-docx, matching the embedded in-app guides.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register_qi.py — ecosystem registration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register_qi.py :: (script)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Registers the 'digitization' project in C:\QIH\ecosystem\qi_registry.json (path, status, family_tier, github).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test_smoke.py — smoke checks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tests/test_smoke.py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Lightweight smoke test of the build/static artifacts; not a full calculation regression suite over the cost model.</w:t>
            </w:r>
          </w:p>
        </w:tc>
      </w:tr>
    </w:tbl>
    <w:p/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Excerpts copied verbatim from the live source (C:\Users\renne\Downloads\DIGITIZATION COSTS\index.html). Everything runs client-side in one HTML file: pricing lives in a data table, calc() turns inputs into three scenarios, and the result is rendered and exported as a signed PDF report. No server, no database.</w:t>
      </w:r>
    </w:p>
    <w:p>
      <w:pPr>
        <w:pStyle w:val="Heading2"/>
      </w:pPr>
      <w:r>
        <w:t>Rate Table (the configurable cost data)</w:t>
      </w:r>
    </w:p>
    <w:p>
      <w:r>
        <w:rPr>
          <w:b/>
        </w:rPr>
        <w:t>RATE_DEFS — every unit rate is data, not code</w:t>
      </w:r>
      <w:r>
        <w:rPr>
          <w:color w:val="1B7A33"/>
          <w:sz w:val="18"/>
        </w:rPr>
        <w:t xml:space="preserve">   implements: Editable rate table</w:t>
      </w:r>
    </w:p>
    <w:p>
      <w:r>
        <w:rPr>
          <w:rFonts w:ascii="Consolas" w:hAnsi="Consolas"/>
          <w:color w:val="666666"/>
          <w:sz w:val="17"/>
        </w:rPr>
        <w:t>index.html · const RATE_DEFS[]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RATE_DEFS=[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{k:"v_scan_clean", l:"Vendor scanning \u2014 clean documents", u:"$/page", d:0.07, c:"Vendor Service Rates", s:"SecureScan / Record Nations low end ($0.07\u20130.12)"},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{k:"v_scan_avg", l:"Vendor scanning \u2014 average condition", u:"$/page", d:0.10, c:"Vendor Service Rates", s:"Midpoint of $0.07\u20130.12 industry cluster"},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//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{k:"w_scan", l:"Student wage \u2014 prep &amp; scanning operator", u:"$/hr", d:15.50, c:"BU Student Labor", s:"BU SEO Job Classification ($15.00\u201315.50 tiers)"},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{k:"fringe_pct", l:"Payroll fringe on student labor", u:"%", d:0, c:"BU Student Labor", s:"Students FICA-exempt while enrolled (IRC \u00a73121(b)(10)); use 7.65 for summer"},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{k:"h_scanner", l:"Production scanner (Ricoh fi-8170, TWAIN/ISIS)", u:"$/unit", d:1050, c:"Hardware &amp; Software", s:"Street price ~$1,050; 70 ppm, 10,000 pages/day duty"},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{k:"rework_pct", l:"Two-step rework / inconsistency factor", u:"%", d:15, c:"Internal Project Effort", s:"Adapting Phase-1 output to Phase-2 import &amp; re-QC", a:1},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];</w:t>
            </w:r>
          </w:p>
        </w:tc>
      </w:tr>
    </w:tbl>
    <w:p>
      <w:r>
        <w:rPr>
          <w:sz w:val="19"/>
        </w:rPr>
        <w:t>The single source of truth for pricing. Each definition carries a key (k), label (l), unit (u), default value (d), category (c), source citation (s), and an optional assumption flag (a). Because rates are data, Document Imaging &amp; Services can re-price the entire tool from the Configuration tab without touching code, and any value with no published market price is tagged as an assumption.</w:t>
      </w:r>
    </w:p>
    <w:p/>
    <w:p>
      <w:r>
        <w:rPr>
          <w:b/>
        </w:rPr>
        <w:t>loadRates — defaults overlaid with saved edits</w:t>
      </w:r>
      <w:r>
        <w:rPr>
          <w:color w:val="1B7A33"/>
          <w:sz w:val="18"/>
        </w:rPr>
        <w:t xml:space="preserve">   implements: Rate persistence</w:t>
      </w:r>
    </w:p>
    <w:p>
      <w:r>
        <w:rPr>
          <w:rFonts w:ascii="Consolas" w:hAnsi="Consolas"/>
          <w:color w:val="666666"/>
          <w:sz w:val="17"/>
        </w:rPr>
        <w:t>index.html · loadRates()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function loadRates(){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base={}; RATE_DEFS.forEach(d=&gt;base[d.k]=d.d);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try{ const saved=JSON.parse(localStorage.getItem(LS_RATES)||"{}");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Object.keys(saved).forEach(k=&gt;{ if(k in base &amp;&amp; isFinite(+saved[k])) base[k]=+saved[k];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}catch(e){}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R=base;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Builds the active rate map R by starting from the built-in defaults and overlaying any values the user saved to localStorage. The guard (key must exist and parse to a finite number) means a corrupt or stale saved file can never inject junk rates — unknown keys and non-numeric values are silently ignored.</w:t>
      </w:r>
    </w:p>
    <w:p/>
    <w:p>
      <w:pPr>
        <w:pStyle w:val="Heading2"/>
      </w:pPr>
      <w:r>
        <w:t>Input Handling</w:t>
      </w:r>
    </w:p>
    <w:p>
      <w:r>
        <w:rPr>
          <w:b/>
        </w:rPr>
        <w:t>gather — read the form into a typed object</w:t>
      </w:r>
      <w:r>
        <w:rPr>
          <w:color w:val="1B7A33"/>
          <w:sz w:val="18"/>
        </w:rPr>
        <w:t xml:space="preserve">   implements: Records profile inputs</w:t>
      </w:r>
    </w:p>
    <w:p>
      <w:r>
        <w:rPr>
          <w:rFonts w:ascii="Consolas" w:hAnsi="Consolas"/>
          <w:color w:val="666666"/>
          <w:sz w:val="17"/>
        </w:rPr>
        <w:t>index.html · gather()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function gather(){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g=id=&gt;document.getElementById(id);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boxes=+g("i_boxes").value||0, ppb=+g("i_ppb").value||2500;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ovr=+g("i_pagesOverride").value||0;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pages=ovr&gt;0?ovr:boxes*ppb;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return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boxes, ppb, pages,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idxbasis:g("i_idxbasis").value,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ppd:Math.max(1,+g("i_ppd").value||5),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ppbundle:Math.max(1,+g("i_ppbundle").value||100),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cond:g("i_cond").value, idx:g("i_idx").value,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ocr:g("i_ocr").checked, destruct:g("i_destruct").checked,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students:Math.max(1,+g("i_students").value||1),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hpw:Math.max(1,+g("i_hpw").value||20),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hy:{ pickup:g("b_pickup").value, prep:g("b_prep").value, scan:g("b_scan").value,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soft:g("b_soft").value, equip:g("b_equip").value, ocr:g("b_ocr").value,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index:g("b_index").value, qc:g("b_qc").value, store:g("b_store").value,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boxstore:g("b_boxstore").value, destruct:g("b_destruct").value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Collects every input field into one typed object the calculator can consume. Volume is computed as the page-count override when given, otherwise boxes x pages-per-box. Numeric fields are clamped with Math.max so a blank or zero can't break the math, and the eleven hybrid 'who does what' selects are bundled into inp.hy for Scenario B.</w:t>
      </w:r>
    </w:p>
    <w:p/>
    <w:p>
      <w:r>
        <w:rPr>
          <w:b/>
        </w:rPr>
        <w:t>Volume and index-unit derivation</w:t>
      </w:r>
      <w:r>
        <w:rPr>
          <w:color w:val="1B7A33"/>
          <w:sz w:val="18"/>
        </w:rPr>
        <w:t xml:space="preserve">   implements: Per-document vs per-bundle indexing</w:t>
      </w:r>
    </w:p>
    <w:p>
      <w:r>
        <w:rPr>
          <w:rFonts w:ascii="Consolas" w:hAnsi="Consolas"/>
          <w:color w:val="666666"/>
          <w:sz w:val="17"/>
        </w:rPr>
        <w:t>index.html · calc() head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function calc(inp){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p=inp.pages;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bundleMode=inp.idxbasis==="bundle";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docs=bundleMode?Math.max(1,Math.ceil(p/inp.ppbundle)):Math.ceil(p/inp.ppd);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unitLabel=bundleMode?"bundles":"documents";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fringe=1+R.fringe_pct/100;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cap=inp.students*inp.hpw; // student hours/week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highVol=p&gt;=100000;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scanRate=highVol?R.v_scan_highvol:{clean:R.v_scan_clean,avg:R.v_scan_avg,complex:R.v_scan_complex}[cond];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prepRate={clean:R.v_prep_clean,avg:R.v_prep_avg,complex:R.v_prep_complex}[cond];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idxRate={basic:R.v_index_basic,std:R.v_index_std,deep:R.v_index_deep}[idx];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trips=Math.max(1,Math.ceil(inp.boxes/40));</w:t>
            </w:r>
          </w:p>
        </w:tc>
      </w:tr>
    </w:tbl>
    <w:p>
      <w:r>
        <w:rPr>
          <w:sz w:val="19"/>
        </w:rPr>
        <w:t>Turns the raw profile into the quantities the scenarios need. Index units are pages/pages-per-bundle in bundle mode, else pages/avg-pages-per-document. A fringe multiplier wraps all student wages, available weekly student hours (cap) drives the timelines, and condition/depth pick the right per-page rates. Volume &gt;= 100,000 pages flips scanning to the high-volume vendor tier.</w:t>
      </w:r>
    </w:p>
    <w:p/>
    <w:p>
      <w:pPr>
        <w:pStyle w:val="Heading2"/>
      </w:pPr>
      <w:r>
        <w:t>Scenario Cost Calculation</w:t>
      </w:r>
    </w:p>
    <w:p>
      <w:r>
        <w:rPr>
          <w:b/>
        </w:rPr>
        <w:t>Scenario A — vendor full service with a minimum-fee floor</w:t>
      </w:r>
      <w:r>
        <w:rPr>
          <w:color w:val="1B7A33"/>
          <w:sz w:val="18"/>
        </w:rPr>
        <w:t xml:space="preserve">   implements: Vendor full-service costing</w:t>
      </w:r>
    </w:p>
    <w:p>
      <w:r>
        <w:rPr>
          <w:rFonts w:ascii="Consolas" w:hAnsi="Consolas"/>
          <w:color w:val="666666"/>
          <w:sz w:val="17"/>
        </w:rPr>
        <w:t>index.html · calc() A block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A={name:"Scenario A \u2014 3rd-Party Vendor Full Service",items:[],cls:"A"};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A.items.push(li("Vendor: scanning"+(highVol?" (high-volume tier)":""),p,"pages",scanRate,p*scanRate));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A.items.push(li("Vendor: document prep",p,"pages",prepRate,p*prepRate));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if(inp.ocr) A.items.push(li("Vendor: OCR searchable layer",p,"pages",R.v_ocr,p*R.v_ocr));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A.items.push(li("Vendor: indexing ("+idx+")",p,"pages",idxRate,p*idxRate));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let svc=A.items.reduce((s,i)=&gt;s+i.amt,0);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if(svc&lt;R.v_min){A.items.push(li("Vendor: minimum project fee adjustment",1,"flat",R.v_min-svc,R.v_min-svc));svc=R.v_min;}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A.items.push(li("BU: vendor procurement / RFP / contract",R.e_proc_vendor,"hrs",R.e_staff,R.e_proc_vendor*R.e_staff));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A.total=A.items.reduce((s,i)=&gt;s+i.amt,0);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A.weeks=R.d_vendor_lead+R.d_vendor_turn;</w:t>
            </w:r>
          </w:p>
        </w:tc>
      </w:tr>
    </w:tbl>
    <w:p>
      <w:r>
        <w:rPr>
          <w:sz w:val="19"/>
        </w:rPr>
        <w:t>Each scenario is an array of line items (label, qty, unit, rate, amount) summed to a total. Scenario A is pure vendor work — scanning, prep, optional OCR, and indexing all priced per page — plus a minimum-fee adjustment if the service subtotal falls below the vendor's floor, then BU's own procurement, PM, and import effort. Its timeline is procurement lead time plus vendor turnaround.</w:t>
      </w:r>
    </w:p>
    <w:p/>
    <w:p>
      <w:r>
        <w:rPr>
          <w:b/>
        </w:rPr>
        <w:t>Scenario B — hybrid per-service: vendor rate OR student hours</w:t>
      </w:r>
      <w:r>
        <w:rPr>
          <w:color w:val="1B7A33"/>
          <w:sz w:val="18"/>
        </w:rPr>
        <w:t xml:space="preserve">   implements: Hybrid 'who performs what' matrix</w:t>
      </w:r>
    </w:p>
    <w:p>
      <w:r>
        <w:rPr>
          <w:rFonts w:ascii="Consolas" w:hAnsi="Consolas"/>
          <w:color w:val="666666"/>
          <w:sz w:val="17"/>
        </w:rPr>
        <w:t>index.html · calc() B block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let buHrs=0; let vendorUsed=false;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// prep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if(hy.prep==="vendor"){ B.items.push(li("Vendor: document prep",p,"pages",prepRate,p*prepRate)); vendorUsed=true;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 { B.items.push(li("BU Students: document prep",Math.ceil(prepHrs),"hrs",R.w_scan*fringe,prepHrs*R.w_scan*fringe)); buHrs+=prepHrs;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// scanning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let buScans=(hy.scan==="bu");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if(!buScans){ B.items.push(li("Vendor: scanning",p,"pages",scanRate,p*scanRate)); vendorUsed=true;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 { B.items.push(li("BU Students: scanning to PDF",Math.ceil(scanHrs),"hrs",R.w_scan*fringe,scanHrs*R.w_scan*fringe)); buHrs+=scanHrs; }</w:t>
            </w:r>
          </w:p>
        </w:tc>
      </w:tr>
    </w:tbl>
    <w:p>
      <w:r>
        <w:rPr>
          <w:sz w:val="19"/>
        </w:rPr>
        <w:t>The core of the hybrid model. For each service the user assigned, the code pushes EITHER a vendor line priced as rate x pages, OR a BU-student line priced as hours x wage x fringe (accumulating buHrs). vendorUsed records whether any 3rd-party service was chosen, which later decides whether contract-procurement effort is added.</w:t>
      </w:r>
    </w:p>
    <w:p/>
    <w:p>
      <w:r>
        <w:rPr>
          <w:b/>
        </w:rPr>
        <w:t>Scenario B — the structural cost of the two-step path</w:t>
      </w:r>
      <w:r>
        <w:rPr>
          <w:color w:val="1B7A33"/>
          <w:sz w:val="18"/>
        </w:rPr>
        <w:t xml:space="preserve">   implements: Two-step overhead modeled honestly</w:t>
      </w:r>
    </w:p>
    <w:p>
      <w:r>
        <w:rPr>
          <w:rFonts w:ascii="Consolas" w:hAnsi="Consolas"/>
          <w:color w:val="666666"/>
          <w:sz w:val="17"/>
        </w:rPr>
        <w:t>index.html · calc() B block (tail)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if(vendorUsed) B.items.push(li("BU: vendor/software contract procurement",R.e_proc_pv,"hrs",R.e_staff,R.e_proc_pv*R.e_staff));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B.items.push(li("BU: project management \u2014 Phase 1 (scanning project)",R.e_pm,"hrs",R.e_staff,R.e_pm*R.e_staff));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B.items.push(li("BU: DRIP/import configuration into OnBase",R.e_drip,"hrs",R.e_staff,R.e_drip*R.e_staff));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B.items.push(li("BU: project management \u2014 Phase 2 (OnBase project)",R.e_pm,"hrs",R.e_staff,R.e_pm*R.e_staff));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reworkHrs=buHrs*R.rework_pct/100;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if(reworkHrs&gt;0) B.items.push(li(`Rework / inconsistency between phases (${R.rework_pct}% of student hrs)`,Math.ceil(reworkHrs),"hrs",R.w_index*fringe,reworkHrs*R.w_index*fringe));</w:t>
            </w:r>
          </w:p>
        </w:tc>
      </w:tr>
    </w:tbl>
    <w:p>
      <w:r>
        <w:rPr>
          <w:sz w:val="19"/>
        </w:rPr>
        <w:t>Why hybrid quietly costs more. Because files land outside OnBase, Scenario B always carries two project-management efforts, a DRIP import configuration, and a rework factor (default 15% of student hours) for adapting Phase-1 output to Phase-2 — the hidden overhead of the current two-tier PaperVision practice, made explicit on every estimate.</w:t>
      </w:r>
    </w:p>
    <w:p/>
    <w:p>
      <w:r>
        <w:rPr>
          <w:b/>
        </w:rPr>
        <w:t>Scenario C — in-house, single-pass scan + index</w:t>
      </w:r>
      <w:r>
        <w:rPr>
          <w:color w:val="1B7A33"/>
          <w:sz w:val="18"/>
        </w:rPr>
        <w:t xml:space="preserve">   implements: In-house direct-to-OnBase costing</w:t>
      </w:r>
    </w:p>
    <w:p>
      <w:r>
        <w:rPr>
          <w:rFonts w:ascii="Consolas" w:hAnsi="Consolas"/>
          <w:color w:val="666666"/>
          <w:sz w:val="17"/>
        </w:rPr>
        <w:t>index.html · calc() C block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C={name:"Scenario C \u2014 In-House: Students Scan &amp; Index Directly into OnBase",items:[],cls:"C"};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C.items.push(li("BU Students: document prep",Math.ceil(prepHrs),"hrs",R.w_scan*fringe,prepHrs*R.w_scan*fringe));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C.items.push(li("BU Students: scan + index into OnBase scan queue (one pass)",Math.ceil(siHrs),"hrs",R.w_index*fringe,siHrs*R.w_index*fringe));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if(hw&gt;0) C.items.push(li("BU: scanning workstation(s) \u2014 Ricoh fi-8170 class",inp.scanners,"unit(s)",R.h_scanner,hw));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C.items.push(li("BU: OnBase scan queue setup (Document Imaging &amp; Services)",R.e_queue,"hrs",R.e_staff,R.e_queue*R.e_staff));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stuHrsC=prepHrs+siHrs;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cwks=stuHrsC/cap;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C.weeks=R.d_queue_lead+cwks;</w:t>
            </w:r>
          </w:p>
        </w:tc>
      </w:tr>
    </w:tbl>
    <w:p>
      <w:r>
        <w:rPr>
          <w:sz w:val="19"/>
        </w:rPr>
        <w:t>The scenario the tool is built to favor. Students prep and then scan-and-index in a single pass directly into an OnBase scan queue (siHrs uses the direct scan+index throughput), so there is no share folder, no DRIP import, no second indexing project, and no rework. Its timeline is just queue-setup lead time plus the work divided by available student hours.</w:t>
      </w:r>
    </w:p>
    <w:p/>
    <w:p>
      <w:r>
        <w:rPr>
          <w:b/>
        </w:rPr>
        <w:t>Shared in-house labor &amp; hardware sub-calc</w:t>
      </w:r>
      <w:r>
        <w:rPr>
          <w:color w:val="1B7A33"/>
          <w:sz w:val="18"/>
        </w:rPr>
        <w:t xml:space="preserve">   implements: Hours from volume / throughput</w:t>
      </w:r>
    </w:p>
    <w:p>
      <w:r>
        <w:rPr>
          <w:rFonts w:ascii="Consolas" w:hAnsi="Consolas"/>
          <w:color w:val="666666"/>
          <w:sz w:val="17"/>
        </w:rPr>
        <w:t>index.html · calc() shared block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prepTp={clean:R.t_prep_clean,avg:R.t_prep_avg,complex:R.t_prep_complex}[cond];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prepHrs=p/prepTp;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scanHrs=p/R.t_scan;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idxTp={basic:R.t_index_basic,std:R.t_index_std,deep:R.t_index_deep}[idx];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idxHrs=docs/idxTp;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siTp={basic:R.t_si_basic,std:R.t_si_std,deep:R.t_si_deep}[idx];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siHrs=p/siTp;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hw=inp.ownScanner?0:inp.scanners*R.h_scanner;</w:t>
            </w:r>
          </w:p>
        </w:tc>
      </w:tr>
    </w:tbl>
    <w:p>
      <w:r>
        <w:rPr>
          <w:sz w:val="19"/>
        </w:rPr>
        <w:t>Converts page volume into student hours via throughput planning factors, shared by Scenarios B and C. Prep and scanning are paced per page; post-scan indexing (Scenario B) is paced per document; the direct scan+index pass (Scenario C) has its own combined throughput. Hardware drops to $0 when the department already owns a compatible scanner.</w:t>
      </w:r>
    </w:p>
    <w:p/>
    <w:p>
      <w:pPr>
        <w:pStyle w:val="Heading2"/>
      </w:pPr>
      <w:r>
        <w:t>Comparison, Savings &amp; Budget Logic</w:t>
      </w:r>
    </w:p>
    <w:p>
      <w:r>
        <w:rPr>
          <w:b/>
        </w:rPr>
        <w:t>Pick the cheapest and compute savings</w:t>
      </w:r>
      <w:r>
        <w:rPr>
          <w:color w:val="1B7A33"/>
          <w:sz w:val="18"/>
        </w:rPr>
        <w:t xml:space="preserve">   implements: Lowest-cost recommendation banner</w:t>
      </w:r>
    </w:p>
    <w:p>
      <w:r>
        <w:rPr>
          <w:rFonts w:ascii="Consolas" w:hAnsi="Consolas"/>
          <w:color w:val="666666"/>
          <w:sz w:val="17"/>
        </w:rPr>
        <w:t>index.html · calcAndShow()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svA=A.total-C.total, svB=B.total-C.total;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cheapest=[A,B,C].reduce((m,s)=&gt;s.total&lt;m.total?s:m);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if(cheapest===C){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h+=`&lt;div class="savings"&gt;\u2705 &lt;b&gt;In-house direct-to-OnBase (Scenario C) is the lowest-cost option...&lt;/b&gt;&lt;br&gt;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Savings vs. vendor full service: &lt;b&gt;${fmt$(svA)}&lt;/b&gt; (${(svA/A.total*100).toFixed(0)}%)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Time saved vs. hybrid: &lt;b&gt;${fmt1(B.weeks-C.weeks)} weeks&lt;/b&gt; ...&lt;/div&gt;`;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}else{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h+=`&lt;div class="savings" style="background:#fff7ec;..."&gt;\u26a0\ufe0f For this volume/profile, &lt;b&gt;${cheapest.name.split("\u2014")[0].trim()}&lt;/b&gt; is the lowest-cost option ...&lt;/div&gt;`;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Computes savings of in-house versus each alternative and finds the cheapest scenario with a reduce. When Scenario C wins (the common case) it shows a green banner with dollar/percent savings and weeks saved; when it does not, an honest amber banner names whatever is actually cheapest for that volume rather than overstating the in-house case.</w:t>
      </w:r>
    </w:p>
    <w:p/>
    <w:p>
      <w:r>
        <w:rPr>
          <w:b/>
        </w:rPr>
        <w:t>Budget check — which scenarios fit, best value first</w:t>
      </w:r>
      <w:r>
        <w:rPr>
          <w:color w:val="1B7A33"/>
          <w:sz w:val="18"/>
        </w:rPr>
        <w:t xml:space="preserve">   implements: Budget check + best-value recommendation</w:t>
      </w:r>
    </w:p>
    <w:p>
      <w:r>
        <w:rPr>
          <w:rFonts w:ascii="Consolas" w:hAnsi="Consolas"/>
          <w:color w:val="666666"/>
          <w:sz w:val="17"/>
        </w:rPr>
        <w:t>index.html · calcAndShow()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if(inp.budget&gt;0){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order=[{s:A,...},{s:B,...},{s:C,...}].sort((x,y)=&gt;x.s.total-y.s.total);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fit=order.filter(o=&gt;o.s.total&lt;=inp.budget);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let verdict;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if(fit.length){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const pick=fit[0]; // lowest-cost scenario that fits = best value within budget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verdict=`\u2705 &lt;b&gt;Recommended within budget: ${pick.n.split("\u00b7")[1].trim()}&lt;/b&gt; at &lt;b&gt;${fmt$(pick.s.total)}&lt;/b&gt; ...`;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}else{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const closest=order[0];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verdict=`\u26a0\ufe0f &lt;b&gt;No scenario fits the ${fmt$(inp.budget)} budget.&lt;/b&gt; The lowest-cost option is ... ${fmt$(closest.s.total-inp.budget)} over ...`;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When a budget is entered, the three scenarios are sorted ascending and filtered to those that fit. The lowest-cost fitting scenario is recommended as the best value within budget; if none fit, the closest option and the shortfall are reported with guidance to raise the budget or reduce scope — so the tool never just fails silently.</w:t>
      </w:r>
    </w:p>
    <w:p/>
    <w:p>
      <w:pPr>
        <w:pStyle w:val="Heading2"/>
      </w:pPr>
      <w:r>
        <w:t>Report Rendering &amp; Persistence</w:t>
      </w:r>
    </w:p>
    <w:p>
      <w:r>
        <w:rPr>
          <w:b/>
        </w:rPr>
        <w:t>paginateReport — split into letter-size pages</w:t>
      </w:r>
      <w:r>
        <w:rPr>
          <w:color w:val="1B7A33"/>
          <w:sz w:val="18"/>
        </w:rPr>
        <w:t xml:space="preserve">   implements: Signed, paginated PDF report</w:t>
      </w:r>
    </w:p>
    <w:p>
      <w:r>
        <w:rPr>
          <w:rFonts w:ascii="Consolas" w:hAnsi="Consolas"/>
          <w:color w:val="666666"/>
          <w:sz w:val="17"/>
        </w:rPr>
        <w:t>index.html · paginateReport()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PAGE_MAX=1040;  // px of content before flowing to the next page (~11in)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isHeading=el=&gt;el&amp;&amp;el.nodeType===1&amp;&amp;/^H[1-6]$/.test(el.tagName);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let page=mk();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blocks.forEach(b=&gt;{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page.appendChild(b);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if(page.scrollHeight&gt;PAGE_MAX &amp;&amp; page.children.length&gt;1){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page.removeChild(b);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const carry=[];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while(page.lastChild &amp;&amp; isHeading(page.lastChild) &amp;&amp; page.children.length&gt;1){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carry.unshift(page.removeChild(page.lastChild)); // keep-with-next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page=mk(); carry.forEach(c=&gt;page.appendChild(c)); page.appendChild(b);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});</w:t>
            </w:r>
          </w:p>
        </w:tc>
      </w:tr>
    </w:tbl>
    <w:p>
      <w:r>
        <w:rPr>
          <w:sz w:val="19"/>
        </w:rPr>
        <w:t>Builds the on-screen 'paper' preview by appending report blocks to a page div until it exceeds ~11 inches, then starting a new page. The keep-with-next loop carries any trailing heading(s) onto the next page so a section title never strands at the bottom. The actual PDF uses the browser's own print pagination.</w:t>
      </w:r>
    </w:p>
    <w:p/>
    <w:p>
      <w:r>
        <w:rPr>
          <w:b/>
        </w:rPr>
        <w:t>Storage safety shim — never let a blocked store crash the tool</w:t>
      </w:r>
      <w:r>
        <w:rPr>
          <w:color w:val="1B7A33"/>
          <w:sz w:val="18"/>
        </w:rPr>
        <w:t xml:space="preserve">   implements: localStorage with in-memory fallback</w:t>
      </w:r>
    </w:p>
    <w:p>
      <w:r>
        <w:rPr>
          <w:rFonts w:ascii="Consolas" w:hAnsi="Consolas"/>
          <w:color w:val="666666"/>
          <w:sz w:val="17"/>
        </w:rPr>
        <w:t>index.html · boot IIFE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function memStore(){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m={};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return { getItem:k=&gt;(k in m?m[k]:null), setItem:(k,v)=&gt;{m[k]=String(v);},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removeItem:k=&gt;{delete m[k];}, clear:()=&gt;{for(const k in m) delete m[k];} 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function safe(read){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try{ const s=read(); const t="__budct_probe"; s.setItem(t,"1"); s.removeItem(t); return s;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catch(e){ return memStore();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try{ Object.defineProperty(window,"localStorage",{value:safe(()=&gt;window.localStorage),configurable:true}); }catch(e){}</w:t>
            </w:r>
          </w:p>
        </w:tc>
      </w:tr>
    </w:tbl>
    <w:p>
      <w:r>
        <w:rPr>
          <w:sz w:val="19"/>
        </w:rPr>
        <w:t>Runs before anything else. It probes localStorage and sessionStorage by writing and removing a test key; if a host blocks storage (sandboxed iframe, private browsing, SharePoint embed) the access throws and the shim swaps in an in-memory store. The tool then works fully for the session and just won't persist between visits in that locked context.</w:t>
      </w:r>
    </w:p>
    <w:p/>
    <w:p>
      <w:r>
        <w:br w:type="page"/>
      </w:r>
    </w:p>
    <w:p>
      <w:pPr>
        <w:pStyle w:val="Heading1"/>
      </w:pPr>
      <w:r>
        <w:t>Future Enhancements</w:t>
      </w:r>
    </w:p>
    <w:p>
      <w:pPr>
        <w:pStyle w:val="Heading2"/>
      </w:pPr>
      <w:r>
        <w:t>QI Standards &amp; Ecosystem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Migrate to a C:\ QI project root</w:t>
      </w:r>
      <w:r>
        <w:t xml:space="preserve"> — The project still lives under C:\Users\renne\Downloads\DIGITIZATION COSTS. Move it to a proper C:\ root with the QI standard 7-folder layout (engine/config/data/logs/tests/docs/tools) and update the registry path. Flagged in qi_registry.json family_notes as 'migration pending'.</w:t>
      </w:r>
    </w:p>
    <w:p>
      <w:pPr>
        <w:pStyle w:val="ListBullet"/>
      </w:pPr>
      <w:r>
        <w:rPr>
          <w:b/>
        </w:rPr>
        <w:t>Run qi_validator against the project</w:t>
      </w:r>
      <w:r>
        <w:t xml:space="preserve"> — Once migrated, run python C:\QIH\ecosystem\qi_validator.py --project digitization to confirm folder layout and naming compliance. The github remote (Quiddity-Innovations/DigitizationCostTool) is already registered.</w:t>
      </w:r>
    </w:p>
    <w:p>
      <w:pPr>
        <w:pStyle w:val="Heading2"/>
      </w:pPr>
      <w:r>
        <w:t>Rate Accuracy &amp; Calibration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Replace the PaperVision assumption with BU's real contract</w:t>
      </w:r>
      <w:r>
        <w:t xml:space="preserve"> — s_pv_month defaults to $240/mo, an assumption — capture-software licensing is quote-only. Substitute BU's actual PaperVision (or equivalent capture) contract cost so hybrid Scenario B is precise.</w:t>
      </w:r>
    </w:p>
    <w:p>
      <w:pPr>
        <w:pStyle w:val="ListBullet"/>
      </w:pPr>
      <w:r>
        <w:rPr>
          <w:b/>
        </w:rPr>
        <w:t>Calibrate planning factors against real projects</w:t>
      </w:r>
      <w:r>
        <w:t xml:space="preserve"> — Throughput rates, internal-effort hours, the 15% rework factor, and the timeline assumptions are Document Imaging &amp; Services estimates. Tune them against completed digitization projects so the durations and labor totals reflect observed performance.</w:t>
      </w:r>
    </w:p>
    <w:p>
      <w:pPr>
        <w:pStyle w:val="ListBullet"/>
      </w:pPr>
      <w:r>
        <w:rPr>
          <w:b/>
        </w:rPr>
        <w:t>Annual rate re-verification</w:t>
      </w:r>
      <w:r>
        <w:t xml:space="preserve"> — Re-verify vendor rates each year against SecureScan / Record Nations / Emerald and refresh BU student wages when the SEO Job Classification Guide or the Massachusetts minimum wage changes.</w:t>
      </w:r>
    </w:p>
    <w:p>
      <w:pPr>
        <w:pStyle w:val="Heading2"/>
      </w:pPr>
      <w:r>
        <w:t>Hosting &amp; Access Control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Host behind real BU authentication</w:t>
      </w:r>
      <w:r>
        <w:t xml:space="preserve"> — The BU_INTERNAL_ONLY flag is a presentation label, not security. For a genuinely internal build, host the file on a BU-login-gated web page or a permissioned SharePoint site rather than relying on the banner.</w:t>
      </w:r>
    </w:p>
    <w:p>
      <w:pPr>
        <w:pStyle w:val="ListBullet"/>
      </w:pPr>
      <w:r>
        <w:rPr>
          <w:b/>
        </w:rPr>
        <w:t>Document the SharePoint embed path</w:t>
      </w:r>
      <w:r>
        <w:t xml:space="preserve"> — A raw .html in a SharePoint library opens but its buttons do nothing (SharePoint blocks page JavaScript). Provide and document the web-server-hosted URL to embed instead, so departments don't hit a dead tool.</w:t>
      </w:r>
    </w:p>
    <w:p>
      <w:pPr>
        <w:pStyle w:val="Heading2"/>
      </w:pPr>
      <w:r>
        <w:t>Feature Enhancements</w:t>
      </w:r>
      <w:r>
        <w:rPr>
          <w:color w:val="666666"/>
          <w:sz w:val="20"/>
        </w:rPr>
        <w:t xml:space="preserve">   [LOW PRIORITY]</w:t>
      </w:r>
    </w:p>
    <w:p>
      <w:pPr>
        <w:pStyle w:val="ListBullet"/>
      </w:pPr>
      <w:r>
        <w:rPr>
          <w:b/>
        </w:rPr>
        <w:t>Save / load named project estimates</w:t>
      </w:r>
      <w:r>
        <w:t xml:space="preserve"> — Today only the last-used inputs persist. Let staff save multiple named estimates (per department/project) and reload them for comparison or revision.</w:t>
      </w:r>
    </w:p>
    <w:p>
      <w:pPr>
        <w:pStyle w:val="ListBullet"/>
      </w:pPr>
      <w:r>
        <w:rPr>
          <w:b/>
        </w:rPr>
        <w:t>Export results to spreadsheet</w:t>
      </w:r>
      <w:r>
        <w:t xml:space="preserve"> — Add an Export-to-CSV/XLSX of the computed line items and comparison so the numbers can drop straight into a budget workbook, complementing the existing PDF report.</w:t>
      </w:r>
    </w:p>
    <w:p>
      <w:pPr>
        <w:pStyle w:val="ListBullet"/>
      </w:pPr>
      <w:r>
        <w:rPr>
          <w:b/>
        </w:rPr>
        <w:t>On-site vendor crew scenario</w:t>
      </w:r>
      <w:r>
        <w:t xml:space="preserve"> — Vendors also offer on-site scanning crews (premium, quote-based). The tech notes say to model this by assigning scanning to the vendor and raising the rate — promote it to a first-class scenario option with its own line.</w:t>
      </w:r>
    </w:p>
    <w:p>
      <w:pPr>
        <w:pStyle w:val="ListBullet"/>
      </w:pPr>
      <w:r>
        <w:rPr>
          <w:b/>
        </w:rPr>
        <w:t>Regression tests over the cost model</w:t>
      </w:r>
      <w:r>
        <w:t xml:space="preserve"> — test_smoke.py only checks build artifacts. Add tests that pin calc() outputs for known input profiles (e.g. the 15-box worked example) so a future edit can't silently change the math.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Single-file HTML5</w:t>
            </w:r>
          </w:p>
        </w:tc>
        <w:tc>
          <w:tcPr>
            <w:tcW w:type="dxa" w:w="1728"/>
          </w:tcPr>
          <w:p>
            <w:r>
              <w:t>The entire tool — UI, cost model, report generator — is one self-contained index.html (~1,450 lines). No build step required to run it.</w:t>
            </w:r>
          </w:p>
        </w:tc>
        <w:tc>
          <w:tcPr>
            <w:tcW w:type="dxa" w:w="1728"/>
          </w:tcPr>
          <w:p>
            <w:r>
              <w:t>N/A (project source)</w:t>
            </w:r>
          </w:p>
        </w:tc>
        <w:tc>
          <w:tcPr>
            <w:tcW w:type="dxa" w:w="1728"/>
          </w:tcPr>
          <w:p>
            <w:r>
              <w:t>v3.1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Logic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Vanilla JavaScript (ES2015+)</w:t>
            </w:r>
          </w:p>
        </w:tc>
        <w:tc>
          <w:tcPr>
            <w:tcW w:type="dxa" w:w="1728"/>
          </w:tcPr>
          <w:p>
            <w:r>
              <w:t>All calculation, rendering, persistence, export/import, and pagination. Zero runtime dependencies, no framework, no bundler.</w:t>
            </w:r>
          </w:p>
        </w:tc>
        <w:tc>
          <w:tcPr>
            <w:tcW w:type="dxa" w:w="1728"/>
          </w:tcPr>
          <w:p>
            <w:r>
              <w:t>N/A (project source)</w:t>
            </w:r>
          </w:p>
        </w:tc>
        <w:tc>
          <w:tcPr>
            <w:tcW w:type="dxa" w:w="1728"/>
          </w:tcPr>
          <w:p>
            <w:r>
              <w:t>strict mode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Styling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Hand-written CSS</w:t>
            </w:r>
          </w:p>
        </w:tc>
        <w:tc>
          <w:tcPr>
            <w:tcW w:type="dxa" w:w="1728"/>
          </w:tcPr>
          <w:p>
            <w:r>
              <w:t>BU-branded layout (CSS custom properties for the BU red palette), responsive input grids, bar charts, and a print stylesheet that paginates the report to letter size.</w:t>
            </w:r>
          </w:p>
        </w:tc>
        <w:tc>
          <w:tcPr>
            <w:tcW w:type="dxa" w:w="1728"/>
          </w:tcPr>
          <w:p>
            <w:r>
              <w:t>N/A (project source)</w:t>
            </w:r>
          </w:p>
        </w:tc>
        <w:tc>
          <w:tcPr>
            <w:tcW w:type="dxa" w:w="1728"/>
          </w:tcPr>
          <w:p>
            <w:r>
              <w:t>embedded &lt;style&gt;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Persistence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Web Storage (localStorage / sessionStorage)</w:t>
            </w:r>
          </w:p>
        </w:tc>
        <w:tc>
          <w:tcPr>
            <w:tcW w:type="dxa" w:w="1728"/>
          </w:tcPr>
          <w:p>
            <w:r>
              <w:t>Stores rate table (budct_rates_v2), last inputs (budct_inputs_v2), preparers, password hash, and prefs — entirely client-side, no server.</w:t>
            </w:r>
          </w:p>
        </w:tc>
        <w:tc>
          <w:tcPr>
            <w:tcW w:type="dxa" w:w="1728"/>
          </w:tcPr>
          <w:p>
            <w:r>
              <w:t>Web standard</w:t>
            </w:r>
          </w:p>
        </w:tc>
        <w:tc>
          <w:tcPr>
            <w:tcW w:type="dxa" w:w="1728"/>
          </w:tcPr>
          <w:p>
            <w:r>
              <w:t>with in-memory fallback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Browser print-to-PDF</w:t>
            </w:r>
          </w:p>
        </w:tc>
        <w:tc>
          <w:tcPr>
            <w:tcW w:type="dxa" w:w="1728"/>
          </w:tcPr>
          <w:p>
            <w:r>
              <w:t>The signed report is produced via window.print() and the browser's 'Save as PDF'; on-screen it renders as stacked 8.5x11 pages. No PDF library bundled.</w:t>
            </w:r>
          </w:p>
        </w:tc>
        <w:tc>
          <w:tcPr>
            <w:tcW w:type="dxa" w:w="1728"/>
          </w:tcPr>
          <w:p>
            <w:r>
              <w:t>Browser-native</w:t>
            </w:r>
          </w:p>
        </w:tc>
        <w:tc>
          <w:tcPr>
            <w:tcW w:type="dxa" w:w="1728"/>
          </w:tcPr>
          <w:p>
            <w:r>
              <w:t>@media print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Build / Packaging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 3 + python-docx</w:t>
            </w:r>
          </w:p>
        </w:tc>
        <w:tc>
          <w:tcPr>
            <w:tcW w:type="dxa" w:w="1728"/>
          </w:tcPr>
          <w:p>
            <w:r>
              <w:t>build_package.py and make_docs.py generate the web-ready index.html, the three Word deliverables, and the distributable zip. Tooling only — not shipped to the end user.</w:t>
            </w:r>
          </w:p>
        </w:tc>
        <w:tc>
          <w:tcPr>
            <w:tcW w:type="dxa" w:w="1728"/>
          </w:tcPr>
          <w:p>
            <w:r>
              <w:t>PSF / MIT</w:t>
            </w:r>
          </w:p>
        </w:tc>
        <w:tc>
          <w:tcPr>
            <w:tcW w:type="dxa" w:w="1728"/>
          </w:tcPr>
          <w:p>
            <w:r>
              <w:t>3.x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Distribution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Zip archive</w:t>
            </w:r>
          </w:p>
        </w:tc>
        <w:tc>
          <w:tcPr>
            <w:tcW w:type="dxa" w:w="1728"/>
          </w:tcPr>
          <w:p>
            <w:r>
              <w:t>dist/ holds the packaged build: index.html + User Guide + Deployment Guide, zipped for hand-off to Document Imaging &amp; Services.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v3.1 internal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Hosting (any of three)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file:// · web server · SharePoint embed</w:t>
            </w:r>
          </w:p>
        </w:tc>
        <w:tc>
          <w:tcPr>
            <w:tcW w:type="dxa" w:w="1728"/>
          </w:tcPr>
          <w:p>
            <w:r>
              <w:t>Runs from a local file, a USB/shared drive, an HTTPS web server, or an embedded SharePoint page (which requires the web-hosted URL, since SharePoint blocks page JS).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 install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Why a single client-side HTML file (no server, no database)</w:t>
      </w:r>
    </w:p>
    <w:p>
      <w:r>
        <w:t>The tool is deliberately one self-contained index.html with embedded CSS and JavaScript and zero dependencies. It needs no install, no internet, and no backend, so a department can run it from a USB stick, a shared drive, or a hosted page, and every entry stays on the user's own computer. This is the right fit for a small, single-purpose calculator used occasionally by a handful of staff: there is no data to centralize, no concurrency, and nothing to operate. The trade-off — no central rate table or shared audit trail — is handled by the JSON export/import, which lets one maintained configuration travel between machines.</w:t>
      </w:r>
    </w:p>
    <w:p>
      <w:pPr>
        <w:pStyle w:val="Heading3"/>
      </w:pPr>
      <w:r>
        <w:t>How the cost model is structured</w:t>
      </w:r>
    </w:p>
    <w:p>
      <w:r>
        <w:t>All pricing lives in RATE_DEFS, a flat catalog of ~50 rate definitions (vendor service rates, BU student wages, throughput planning factors, hardware/software, internal effort, and timeline assumptions), each carrying a default, a unit, a category, and a source citation. calc() turns a records profile into three scenarios by summing arrays of line items built from those rates: vendor lines price as rate x quantity, while BU lines price as student-hours x wage x fringe, where hours come from page volume divided by throughput. Because the rate table is data, Document Imaging &amp; Services can re-price the whole tool by editing values — no code change — and items with no published market price are explicitly tagged as assumptions.</w:t>
      </w:r>
    </w:p>
    <w:p>
      <w:pPr>
        <w:pStyle w:val="Heading3"/>
      </w:pPr>
      <w:r>
        <w:t>Persistence with a safety shim</w:t>
      </w:r>
    </w:p>
    <w:p>
      <w:r>
        <w:t>Rates, the last-used inputs, the preparer roster, and the (hashed) Configuration password all persist in the browser's localStorage under budct_* keys, so the tool remembers its setup between visits. Some hosts block storage — a sandboxed iframe, private browsing, or a SharePoint embed — and touching a blocked store throws a SecurityError that would otherwise kill every button. A boot-time shim probes each store and, if blocked, transparently swaps in an in-memory store so the tool still works fully for that session; it just won't remember settings afterward.</w:t>
      </w:r>
    </w:p>
    <w:p>
      <w:pPr>
        <w:pStyle w:val="Heading3"/>
      </w:pPr>
      <w:r>
        <w:t>Report generation and pagination</w:t>
      </w:r>
    </w:p>
    <w:p>
      <w:r>
        <w:t>The report is assembled as one HTML string (BU letterhead, executive summary, comparison table, the hybrid assignment matrix, a 'why two-step costs more' section, full line items, assumptions, sources, and a signature block) wrapped in a mandatory reference-estimate disclaimer. For the on-screen preview, paginateReport() measures and splits that markup into stacked letter-size pages with keep-with-next logic so headings never strand at the bottom of a page; for the actual PDF, printReport() hands off to the browser's own print pagination and sets the document title to an auto-built, descriptive filename so 'Save as PDF' suggests a sensible name.</w:t>
      </w:r>
    </w:p>
    <w:p>
      <w:pPr>
        <w:pStyle w:val="Heading3"/>
      </w:pPr>
      <w:r>
        <w:t>Access mode vs. real security (honest framing)</w:t>
      </w:r>
    </w:p>
    <w:p>
      <w:r>
        <w:t>Two mechanisms look like security but are not. The BU_INTERNAL_ONLY flag only toggles a 'Confidential' banner and a body class — it cannot stop anyone from viewing the page. The Configuration password is a convenience gate so departments can view estimates without altering the official rate table; it is stored only as a hash, but the tool holds no sensitive data and the gate is trivially bypassable. Genuine BU-only access must come from where the file is hosted (a login-gated web page or a permissioned SharePoint site), and the documentation states this plainly rather than overselling the flags.</w:t>
      </w:r>
    </w:p>
    <w:p>
      <w:r>
        <w:br w:type="page"/>
      </w:r>
    </w:p>
    <w:p>
      <w:pPr>
        <w:pStyle w:val="Heading1"/>
      </w:pPr>
      <w:r>
        <w:t>Documentation &amp; Source Index</w:t>
      </w:r>
    </w:p>
    <w:p>
      <w:pPr>
        <w:pStyle w:val="Heading2"/>
      </w:pPr>
      <w:r>
        <w:t>The Tool</w:t>
      </w:r>
    </w:p>
    <w:p>
      <w:pPr>
        <w:pStyle w:val="ListBullet"/>
      </w:pPr>
      <w:r>
        <w:rPr>
          <w:b/>
        </w:rPr>
        <w:t>Digitization Cost Tool (canonical source)</w:t>
      </w:r>
      <w:r>
        <w:rPr>
          <w:color w:val="666666"/>
          <w:sz w:val="17"/>
        </w:rPr>
        <w:t xml:space="preserve">  [HTML/JS]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COSTS\index.html</w:t>
      </w:r>
    </w:p>
    <w:p>
      <w:pPr>
        <w:ind w:left="720"/>
      </w:pPr>
      <w:r>
        <w:rPr>
          <w:sz w:val="18"/>
        </w:rPr>
        <w:t>The complete single-file application: UI, three-scenario cost model, rate table, configuration, and signed-report generator. ~1,450 lines, no dependencies.</w:t>
      </w:r>
    </w:p>
    <w:p>
      <w:pPr>
        <w:pStyle w:val="ListBullet"/>
      </w:pPr>
      <w:r>
        <w:rPr>
          <w:b/>
        </w:rPr>
        <w:t>BU Digitization Cost Tool (descriptively-named copy)</w:t>
      </w:r>
      <w:r>
        <w:rPr>
          <w:color w:val="666666"/>
          <w:sz w:val="17"/>
        </w:rPr>
        <w:t xml:space="preserve">  [HTML/JS]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COSTS\BU_Digitization_Cost_Tool.html</w:t>
      </w:r>
    </w:p>
    <w:p>
      <w:pPr>
        <w:ind w:left="720"/>
      </w:pPr>
      <w:r>
        <w:rPr>
          <w:sz w:val="18"/>
        </w:rPr>
        <w:t>Identical tool under a descriptive filename for local/USB/share-drive use. index.html is the web-server-ready name.</w:t>
      </w:r>
    </w:p>
    <w:p>
      <w:pPr>
        <w:pStyle w:val="Heading2"/>
      </w:pPr>
      <w:r>
        <w:t>Word Deliverables</w:t>
      </w:r>
    </w:p>
    <w:p>
      <w:pPr>
        <w:pStyle w:val="ListBullet"/>
      </w:pPr>
      <w:r>
        <w:rPr>
          <w:b/>
        </w:rPr>
        <w:t>User Guide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COSTS\Digitization_Cost_Tool_User_Guide.docx</w:t>
      </w:r>
    </w:p>
    <w:p>
      <w:pPr>
        <w:ind w:left="720"/>
      </w:pPr>
      <w:r>
        <w:rPr>
          <w:sz w:val="18"/>
        </w:rPr>
        <w:t>End-user walkthrough: opening the tool, entering a records profile, reading the results and staffing sensitivity, generating the report, and keeping rates current. Mirrors the in-app Help tab.</w:t>
      </w:r>
    </w:p>
    <w:p>
      <w:pPr>
        <w:pStyle w:val="ListBullet"/>
      </w:pPr>
      <w:r>
        <w:rPr>
          <w:b/>
        </w:rPr>
        <w:t>Technical Documentation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COSTS\Digitization_Cost_Tool_Technical_Documentation.docx</w:t>
      </w:r>
    </w:p>
    <w:p>
      <w:pPr>
        <w:ind w:left="720"/>
      </w:pPr>
      <w:r>
        <w:rPr>
          <w:sz w:val="18"/>
        </w:rPr>
        <w:t>Methodology, the three scenarios, calculation formulas, default unit rates and their sources (verified June 2026), a worked example, architecture, access control, and limitations. Mirrors the in-app Technical Reference.</w:t>
      </w:r>
    </w:p>
    <w:p>
      <w:pPr>
        <w:pStyle w:val="ListBullet"/>
      </w:pPr>
      <w:r>
        <w:rPr>
          <w:b/>
        </w:rPr>
        <w:t>Deployment &amp; Hosting Guide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COSTS\Digitization_Cost_Tool_Deployment_Guide.docx</w:t>
      </w:r>
    </w:p>
    <w:p>
      <w:pPr>
        <w:ind w:left="720"/>
      </w:pPr>
      <w:r>
        <w:rPr>
          <w:sz w:val="18"/>
        </w:rPr>
        <w:t>How to host the tool three ways (local file, web server, SharePoint embed), including the SharePoint JavaScript caveat. Generated by build_package.py.</w:t>
      </w:r>
    </w:p>
    <w:p>
      <w:pPr>
        <w:pStyle w:val="Heading2"/>
      </w:pPr>
      <w:r>
        <w:t>Reference Material</w:t>
      </w:r>
    </w:p>
    <w:p>
      <w:pPr>
        <w:pStyle w:val="ListBullet"/>
      </w:pPr>
      <w:r>
        <w:rPr>
          <w:b/>
        </w:rPr>
        <w:t>Source pricing reference (BU PDF)</w:t>
      </w:r>
      <w:r>
        <w:rPr>
          <w:color w:val="666666"/>
          <w:sz w:val="17"/>
        </w:rPr>
        <w:t xml:space="preserve">  [PDF]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COSTS\BU Digitization Cost Comparison Tool — Document Imaging &amp; Services.pdf</w:t>
      </w:r>
    </w:p>
    <w:p>
      <w:pPr>
        <w:ind w:left="720"/>
      </w:pPr>
      <w:r>
        <w:rPr>
          <w:sz w:val="18"/>
        </w:rPr>
        <w:t>Background pricing research and the Document Imaging &amp; Services context the rate table is built from.</w:t>
      </w:r>
    </w:p>
    <w:p>
      <w:pPr>
        <w:pStyle w:val="ListBullet"/>
      </w:pPr>
      <w:r>
        <w:rPr>
          <w:b/>
        </w:rPr>
        <w:t>Sample records info</w:t>
      </w:r>
      <w:r>
        <w:rPr>
          <w:color w:val="666666"/>
          <w:sz w:val="17"/>
        </w:rPr>
        <w:t xml:space="preserve">  [Text]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COSTS\SampleInfo.txt</w:t>
      </w:r>
    </w:p>
    <w:p>
      <w:pPr>
        <w:ind w:left="720"/>
      </w:pPr>
      <w:r>
        <w:rPr>
          <w:sz w:val="18"/>
        </w:rPr>
        <w:t>Sample records-profile data used while building and demonstrating the tool.</w:t>
      </w:r>
    </w:p>
    <w:p>
      <w:pPr>
        <w:pStyle w:val="Heading2"/>
      </w:pPr>
      <w:r>
        <w:t>Build &amp; Tooling</w:t>
      </w:r>
    </w:p>
    <w:p>
      <w:pPr>
        <w:pStyle w:val="ListBullet"/>
      </w:pPr>
      <w:r>
        <w:rPr>
          <w:b/>
        </w:rPr>
        <w:t>Distributable builder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COSTS\build_package.py</w:t>
      </w:r>
    </w:p>
    <w:p>
      <w:pPr>
        <w:ind w:left="720"/>
      </w:pPr>
      <w:r>
        <w:rPr>
          <w:sz w:val="18"/>
        </w:rPr>
        <w:t>Generates the web-ready index.html from source, builds the Deployment Guide .docx, and zips the internal v3.1 distributable into dist/.</w:t>
      </w:r>
    </w:p>
    <w:p>
      <w:pPr>
        <w:pStyle w:val="ListBullet"/>
      </w:pPr>
      <w:r>
        <w:rPr>
          <w:b/>
        </w:rPr>
        <w:t>Documentation generator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COSTS\make_docs.py</w:t>
      </w:r>
    </w:p>
    <w:p>
      <w:pPr>
        <w:ind w:left="720"/>
      </w:pPr>
      <w:r>
        <w:rPr>
          <w:sz w:val="18"/>
        </w:rPr>
        <w:t>Builds the User Guide, Technical Documentation, and Deployment Guide .docx files via python-docx, kept in sync with the embedded in-app guides.</w:t>
      </w:r>
    </w:p>
    <w:p>
      <w:pPr>
        <w:pStyle w:val="ListBullet"/>
      </w:pPr>
      <w:r>
        <w:rPr>
          <w:b/>
        </w:rPr>
        <w:t>Session summary generators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COSTS\make_session_summary.py, make_session_summary_v31.py</w:t>
      </w:r>
    </w:p>
    <w:p>
      <w:pPr>
        <w:ind w:left="720"/>
      </w:pPr>
      <w:r>
        <w:rPr>
          <w:sz w:val="18"/>
        </w:rPr>
        <w:t>Produce dated session-summary documents for the project.</w:t>
      </w:r>
    </w:p>
    <w:p>
      <w:pPr>
        <w:pStyle w:val="ListBullet"/>
      </w:pPr>
      <w:r>
        <w:rPr>
          <w:b/>
        </w:rPr>
        <w:t>QI registry registration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COSTS\register_qi.py</w:t>
      </w:r>
    </w:p>
    <w:p>
      <w:pPr>
        <w:ind w:left="720"/>
      </w:pPr>
      <w:r>
        <w:rPr>
          <w:sz w:val="18"/>
        </w:rPr>
        <w:t>Registers the 'digitization' project entry in the QI ecosystem registry.</w:t>
      </w:r>
    </w:p>
    <w:p>
      <w:pPr>
        <w:pStyle w:val="ListBullet"/>
      </w:pPr>
      <w:r>
        <w:rPr>
          <w:b/>
        </w:rPr>
        <w:t>Smoke test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COSTS\tests\test_smoke.py</w:t>
      </w:r>
    </w:p>
    <w:p>
      <w:pPr>
        <w:ind w:left="720"/>
      </w:pPr>
      <w:r>
        <w:rPr>
          <w:sz w:val="18"/>
        </w:rPr>
        <w:t>Lightweight smoke check over the build artifacts (not a full cost-model regression suite).</w:t>
      </w:r>
    </w:p>
    <w:p>
      <w:pPr>
        <w:pStyle w:val="ListBullet"/>
      </w:pPr>
      <w:r>
        <w:rPr>
          <w:b/>
        </w:rPr>
        <w:t>Packaged distributable</w:t>
      </w:r>
      <w:r>
        <w:rPr>
          <w:color w:val="666666"/>
          <w:sz w:val="17"/>
        </w:rPr>
        <w:t xml:space="preserve">  [Zip Archive]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COSTS\dist\BU_Digitization_Cost_Tool_v3.1_internal.zip</w:t>
      </w:r>
    </w:p>
    <w:p>
      <w:pPr>
        <w:ind w:left="720"/>
      </w:pPr>
      <w:r>
        <w:rPr>
          <w:sz w:val="18"/>
        </w:rPr>
        <w:t>Hand-off bundle: index.html + User Guide + Deployment Guide for Document Imaging &amp; Services.</w:t>
      </w:r>
    </w:p>
    <w:p>
      <w:pPr>
        <w:pStyle w:val="Heading2"/>
      </w:pPr>
      <w:r>
        <w:t>Ecosystem</w:t>
      </w:r>
    </w:p>
    <w:p>
      <w:pPr>
        <w:pStyle w:val="ListBullet"/>
      </w:pPr>
      <w:r>
        <w:rPr>
          <w:b/>
        </w:rPr>
        <w:t>QI Ecosystem Registry (digitization)</w:t>
      </w:r>
      <w:r>
        <w:rPr>
          <w:color w:val="666666"/>
          <w:sz w:val="17"/>
        </w:rPr>
        <w:t xml:space="preserve">  [JSON]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Registry entry: id=digitization, status=complete, family_tier=sibling, primary_language HTML/JS, no ports, github Quiddity-Innovations/DigitizationCostTool; family_notes flag the pending migration out of Downloads.</w:t>
      </w:r>
    </w:p>
    <w:p>
      <w:pPr>
        <w:pStyle w:val="ListBullet"/>
      </w:pPr>
      <w:r>
        <w:rPr>
          <w:b/>
        </w:rPr>
        <w:t>QI Ecosystem Map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Where this project sits in the QI family/port map and integration contracts.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