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OnBase 13 Licensing: Where It Lives and What the Database Actually Shows</w:t>
      </w:r>
    </w:p>
    <w:p>
      <w:pPr>
        <w:jc w:val="left"/>
      </w:pPr>
      <w:r>
        <w:rPr>
          <w:b w:val="0"/>
          <w:i/>
        </w:rPr>
        <w:t>Evidence-based audit of the Nautilus POC database  |  6 August 2026</w:t>
      </w:r>
    </w:p>
    <w:p>
      <w:r>
        <w:rPr>
          <w:b w:val="0"/>
          <w:i w:val="0"/>
          <w:sz w:val="19"/>
        </w:rPr>
        <w:t>Prepared for: Renne Santiago, Quiddity Innovations  |  Project: MapSnap  |  Target: OnBase 13 (Nautilus) in the SD2K12R2 VMware guest</w:t>
      </w:r>
    </w:p>
    <w:p/>
    <w:p>
      <w:pPr>
        <w:pStyle w:val="Heading1"/>
      </w:pPr>
      <w:r>
        <w:t>1. Bottom line</w:t>
      </w:r>
    </w:p>
    <w:p>
      <w:r>
        <w:rPr>
          <w:b/>
          <w:i w:val="0"/>
        </w:rPr>
        <w:t>The OnBase licensing tables in this database are empty. Of the eleven tables that carry licensing responsibility, nine contain zero rows, including every table that would hold a license certificate or an entitlement. There is no certificate stored in this database, no product entitlement rows, and no integrity hashes in licensedproductcontrol.</w:t>
      </w:r>
    </w:p>
    <w:p>
      <w:r>
        <w:rPr>
          <w:b w:val="0"/>
          <w:i w:val="0"/>
        </w:rPr>
        <w:t>The practical consequence is that the question “how is the license registered in OnBase 13” cannot be answered from this VM. The mechanism’s tables hold no data to reverse-engineer, the two artifacts that are populated are opaque binary blobs, and the one surviving install record predates OnBase 13 by roughly six years.</w:t>
      </w:r>
    </w:p>
    <w:p>
      <w:r>
        <w:rPr>
          <w:b w:val="0"/>
          <w:i w:val="0"/>
        </w:rPr>
        <w:t>Two earlier answers produced during this investigation described a detailed certificate lifecycle — blob decrypts, expands into product rows, hashes written and mirrored. That narrative is not supported by this database. It is retracted in full and replaced by the evidence below.</w:t>
      </w:r>
    </w:p>
    <w:p>
      <w:pPr>
        <w:pStyle w:val="Heading1"/>
      </w:pPr>
      <w:r>
        <w:t>2. How this was verified</w:t>
      </w:r>
    </w:p>
    <w:p>
      <w:r>
        <w:rPr>
          <w:b w:val="0"/>
          <w:i w:val="0"/>
        </w:rPr>
        <w:t>A read-only probe was run directly against the live guest over the legacy “SQL Server” ODBC driver, using the same connection recipe as poc/test_conn.py. Only SELECT statements were issued. Certificate and hash blobs were measured by length and prefix, never dumped.</w:t>
      </w:r>
    </w:p>
    <w:tbl>
      <w:tblPr>
        <w:tblStyle w:val="LightGrid-Accent1"/>
        <w:tblW w:type="auto" w:w="0"/>
        <w:tblLook w:firstColumn="1" w:firstRow="1" w:lastColumn="0" w:lastRow="0" w:noHBand="0" w:noVBand="1" w:val="04A0"/>
      </w:tblPr>
      <w:tblGrid>
        <w:gridCol w:w="4320"/>
        <w:gridCol w:w="4320"/>
      </w:tblGrid>
      <w:tr>
        <w:tc>
          <w:tcPr>
            <w:tcW w:type="dxa" w:w="2304"/>
          </w:tcPr>
          <w:p>
            <w:r/>
            <w:r>
              <w:rPr>
                <w:b/>
              </w:rPr>
              <w:t>Property</w:t>
            </w:r>
          </w:p>
        </w:tc>
        <w:tc>
          <w:tcPr>
            <w:tcW w:type="dxa" w:w="6624"/>
          </w:tcPr>
          <w:p>
            <w:r/>
            <w:r>
              <w:rPr>
                <w:b/>
              </w:rPr>
              <w:t>Value</w:t>
            </w:r>
          </w:p>
        </w:tc>
      </w:tr>
      <w:tr>
        <w:tc>
          <w:tcPr>
            <w:tcW w:type="dxa" w:w="2304"/>
          </w:tcPr>
          <w:p>
            <w:r/>
            <w:r>
              <w:t>Server</w:t>
            </w:r>
          </w:p>
        </w:tc>
        <w:tc>
          <w:tcPr>
            <w:tcW w:type="dxa" w:w="6624"/>
          </w:tcPr>
          <w:p>
            <w:r/>
            <w:r>
              <w:t>192.168.251.128,1433 (VMware NAT) — @@SERVERNAME WIN-S5RVQQIGCHM</w:t>
            </w:r>
          </w:p>
        </w:tc>
      </w:tr>
      <w:tr>
        <w:tc>
          <w:tcPr>
            <w:tcW w:type="dxa" w:w="2304"/>
          </w:tcPr>
          <w:p>
            <w:r/>
            <w:r>
              <w:t>Database</w:t>
            </w:r>
          </w:p>
        </w:tc>
        <w:tc>
          <w:tcPr>
            <w:tcW w:type="dxa" w:w="6624"/>
          </w:tcPr>
          <w:p>
            <w:r/>
            <w:r>
              <w:t>Nautilus</w:t>
            </w:r>
          </w:p>
        </w:tc>
      </w:tr>
      <w:tr>
        <w:tc>
          <w:tcPr>
            <w:tcW w:type="dxa" w:w="2304"/>
          </w:tcPr>
          <w:p>
            <w:r/>
            <w:r>
              <w:t>Schema</w:t>
            </w:r>
          </w:p>
        </w:tc>
        <w:tc>
          <w:tcPr>
            <w:tcW w:type="dxa" w:w="6624"/>
          </w:tcPr>
          <w:p>
            <w:r/>
            <w:r>
              <w:t>hsi</w:t>
            </w:r>
          </w:p>
        </w:tc>
      </w:tr>
      <w:tr>
        <w:tc>
          <w:tcPr>
            <w:tcW w:type="dxa" w:w="2304"/>
          </w:tcPr>
          <w:p>
            <w:r/>
            <w:r>
              <w:t>Guest hostname</w:t>
            </w:r>
          </w:p>
        </w:tc>
        <w:tc>
          <w:tcPr>
            <w:tcW w:type="dxa" w:w="6624"/>
          </w:tcPr>
          <w:p>
            <w:r/>
            <w:r>
              <w:t>SD2K12R2</w:t>
            </w:r>
          </w:p>
        </w:tc>
      </w:tr>
      <w:tr>
        <w:tc>
          <w:tcPr>
            <w:tcW w:type="dxa" w:w="2304"/>
          </w:tcPr>
          <w:p>
            <w:r/>
            <w:r>
              <w:t>Access</w:t>
            </w:r>
          </w:p>
        </w:tc>
        <w:tc>
          <w:tcPr>
            <w:tcW w:type="dxa" w:w="6624"/>
          </w:tcPr>
          <w:p>
            <w:r/>
            <w:r>
              <w:t>Read-only SELECT; sa login</w:t>
            </w:r>
          </w:p>
        </w:tc>
      </w:tr>
      <w:tr>
        <w:tc>
          <w:tcPr>
            <w:tcW w:type="dxa" w:w="2304"/>
          </w:tcPr>
          <w:p>
            <w:r/>
            <w:r>
              <w:t>Probe date</w:t>
            </w:r>
          </w:p>
        </w:tc>
        <w:tc>
          <w:tcPr>
            <w:tcW w:type="dxa" w:w="6624"/>
          </w:tcPr>
          <w:p>
            <w:r/>
            <w:r>
              <w:t>6 August 2026</w:t>
            </w:r>
          </w:p>
        </w:tc>
      </w:tr>
    </w:tbl>
    <w:p/>
    <w:p>
      <w:pPr>
        <w:pStyle w:val="Heading1"/>
      </w:pPr>
      <w:r>
        <w:t>3. The licensing tables and what is in them</w:t>
      </w:r>
    </w:p>
    <w:p>
      <w:r>
        <w:rPr>
          <w:b w:val="0"/>
          <w:i w:val="0"/>
        </w:rPr>
        <w:t>Every table in the hsi schema with licensing responsibility, with live row counts: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rPr>
              <w:t>Table</w:t>
            </w:r>
          </w:p>
        </w:tc>
        <w:tc>
          <w:tcPr>
            <w:tcW w:type="dxa" w:w="1008"/>
          </w:tcPr>
          <w:p>
            <w:r/>
            <w:r>
              <w:rPr>
                <w:b/>
              </w:rPr>
              <w:t>Rows</w:t>
            </w:r>
          </w:p>
        </w:tc>
        <w:tc>
          <w:tcPr>
            <w:tcW w:type="dxa" w:w="4752"/>
          </w:tcPr>
          <w:p>
            <w:r/>
            <w:r>
              <w:rPr>
                <w:b/>
              </w:rPr>
              <w:t>Purpose implied by structure</w:t>
            </w:r>
          </w:p>
        </w:tc>
      </w:tr>
      <w:tr>
        <w:tc>
          <w:tcPr>
            <w:tcW w:type="dxa" w:w="3168"/>
          </w:tcPr>
          <w:p>
            <w:r/>
            <w:r>
              <w:t>hsi.licensetable</w:t>
            </w:r>
          </w:p>
        </w:tc>
        <w:tc>
          <w:tcPr>
            <w:tcW w:type="dxa" w:w="1008"/>
          </w:tcPr>
          <w:p>
            <w:r/>
            <w:r>
              <w:t>1</w:t>
            </w:r>
          </w:p>
        </w:tc>
        <w:tc>
          <w:tcPr>
            <w:tcW w:type="dxa" w:w="4752"/>
          </w:tcPr>
          <w:p>
            <w:r/>
            <w:r>
              <w:t>Install fingerprint — see section 4</w:t>
            </w:r>
          </w:p>
        </w:tc>
      </w:tr>
      <w:tr>
        <w:tc>
          <w:tcPr>
            <w:tcW w:type="dxa" w:w="3168"/>
          </w:tcPr>
          <w:p>
            <w:r/>
            <w:r>
              <w:t>hsi.registeredusers</w:t>
            </w:r>
          </w:p>
        </w:tc>
        <w:tc>
          <w:tcPr>
            <w:tcW w:type="dxa" w:w="1008"/>
          </w:tcPr>
          <w:p>
            <w:r/>
            <w:r>
              <w:t>7</w:t>
            </w:r>
          </w:p>
        </w:tc>
        <w:tc>
          <w:tcPr>
            <w:tcW w:type="dxa" w:w="4752"/>
          </w:tcPr>
          <w:p>
            <w:r/>
            <w:r>
              <w:t>Station registration ledger — see section 5</w:t>
            </w:r>
          </w:p>
        </w:tc>
      </w:tr>
      <w:tr>
        <w:tc>
          <w:tcPr>
            <w:tcW w:type="dxa" w:w="3168"/>
          </w:tcPr>
          <w:p>
            <w:r/>
            <w:r>
              <w:t>hsi.systemtableex</w:t>
            </w:r>
          </w:p>
        </w:tc>
        <w:tc>
          <w:tcPr>
            <w:tcW w:type="dxa" w:w="1008"/>
          </w:tcPr>
          <w:p>
            <w:r/>
            <w:r>
              <w:t>1</w:t>
            </w:r>
          </w:p>
        </w:tc>
        <w:tc>
          <w:tcPr>
            <w:tcW w:type="dxa" w:w="4752"/>
          </w:tcPr>
          <w:p>
            <w:r/>
            <w:r>
              <w:t>Holds the only live licensing artifacts — section 4</w:t>
            </w:r>
          </w:p>
        </w:tc>
      </w:tr>
      <w:tr>
        <w:tc>
          <w:tcPr>
            <w:tcW w:type="dxa" w:w="3168"/>
          </w:tcPr>
          <w:p>
            <w:r/>
            <w:r>
              <w:t>hsi.primarylic</w:t>
            </w:r>
          </w:p>
        </w:tc>
        <w:tc>
          <w:tcPr>
            <w:tcW w:type="dxa" w:w="1008"/>
          </w:tcPr>
          <w:p>
            <w:r/>
            <w:r>
              <w:t>0</w:t>
            </w:r>
          </w:p>
        </w:tc>
        <w:tc>
          <w:tcPr>
            <w:tcW w:type="dxa" w:w="4752"/>
          </w:tcPr>
          <w:p>
            <w:r/>
            <w:r>
              <w:t>Would hold the active license certificate</w:t>
            </w:r>
          </w:p>
        </w:tc>
      </w:tr>
      <w:tr>
        <w:tc>
          <w:tcPr>
            <w:tcW w:type="dxa" w:w="3168"/>
          </w:tcPr>
          <w:p>
            <w:r/>
            <w:r>
              <w:t>hsi.secondarylic</w:t>
            </w:r>
          </w:p>
        </w:tc>
        <w:tc>
          <w:tcPr>
            <w:tcW w:type="dxa" w:w="1008"/>
          </w:tcPr>
          <w:p>
            <w:r/>
            <w:r>
              <w:t>0</w:t>
            </w:r>
          </w:p>
        </w:tc>
        <w:tc>
          <w:tcPr>
            <w:tcW w:type="dxa" w:w="4752"/>
          </w:tcPr>
          <w:p>
            <w:r/>
            <w:r>
              <w:t>Would hold a staged / renewal certificate</w:t>
            </w:r>
          </w:p>
        </w:tc>
      </w:tr>
      <w:tr>
        <w:tc>
          <w:tcPr>
            <w:tcW w:type="dxa" w:w="3168"/>
          </w:tcPr>
          <w:p>
            <w:r/>
            <w:r>
              <w:t>hsi.liccertificate</w:t>
            </w:r>
          </w:p>
        </w:tc>
        <w:tc>
          <w:tcPr>
            <w:tcW w:type="dxa" w:w="1008"/>
          </w:tcPr>
          <w:p>
            <w:r/>
            <w:r>
              <w:t>0</w:t>
            </w:r>
          </w:p>
        </w:tc>
        <w:tc>
          <w:tcPr>
            <w:tcW w:type="dxa" w:w="4752"/>
          </w:tcPr>
          <w:p>
            <w:r/>
            <w:r>
              <w:t>Would hold certificate history</w:t>
            </w:r>
          </w:p>
        </w:tc>
      </w:tr>
      <w:tr>
        <w:tc>
          <w:tcPr>
            <w:tcW w:type="dxa" w:w="3168"/>
          </w:tcPr>
          <w:p>
            <w:r/>
            <w:r>
              <w:t>hsi.licensedproduct</w:t>
            </w:r>
          </w:p>
        </w:tc>
        <w:tc>
          <w:tcPr>
            <w:tcW w:type="dxa" w:w="1008"/>
          </w:tcPr>
          <w:p>
            <w:r/>
            <w:r>
              <w:t>0</w:t>
            </w:r>
          </w:p>
        </w:tc>
        <w:tc>
          <w:tcPr>
            <w:tcW w:type="dxa" w:w="4752"/>
          </w:tcPr>
          <w:p>
            <w:r/>
            <w:r>
              <w:t>Would hold per-module entitlements and seat counts</w:t>
            </w:r>
          </w:p>
        </w:tc>
      </w:tr>
      <w:tr>
        <w:tc>
          <w:tcPr>
            <w:tcW w:type="dxa" w:w="3168"/>
          </w:tcPr>
          <w:p>
            <w:r/>
            <w:r>
              <w:t>hsi.licensedproductcontrol</w:t>
            </w:r>
          </w:p>
        </w:tc>
        <w:tc>
          <w:tcPr>
            <w:tcW w:type="dxa" w:w="1008"/>
          </w:tcPr>
          <w:p>
            <w:r/>
            <w:r>
              <w:t>0</w:t>
            </w:r>
          </w:p>
        </w:tc>
        <w:tc>
          <w:tcPr>
            <w:tcW w:type="dxa" w:w="4752"/>
          </w:tcPr>
          <w:p>
            <w:r/>
            <w:r>
              <w:t>Would hold integrity hashes over entitlements</w:t>
            </w:r>
          </w:p>
        </w:tc>
      </w:tr>
      <w:tr>
        <w:tc>
          <w:tcPr>
            <w:tcW w:type="dxa" w:w="3168"/>
          </w:tcPr>
          <w:p>
            <w:r/>
            <w:r>
              <w:t>hsi.licensecontrol</w:t>
            </w:r>
          </w:p>
        </w:tc>
        <w:tc>
          <w:tcPr>
            <w:tcW w:type="dxa" w:w="1008"/>
          </w:tcPr>
          <w:p>
            <w:r/>
            <w:r>
              <w:t>0</w:t>
            </w:r>
          </w:p>
        </w:tc>
        <w:tc>
          <w:tcPr>
            <w:tcW w:type="dxa" w:w="4752"/>
          </w:tcPr>
          <w:p>
            <w:r/>
            <w:r>
              <w:t>Would hold per-database validity window</w:t>
            </w:r>
          </w:p>
        </w:tc>
      </w:tr>
      <w:tr>
        <w:tc>
          <w:tcPr>
            <w:tcW w:type="dxa" w:w="3168"/>
          </w:tcPr>
          <w:p>
            <w:r/>
            <w:r>
              <w:t>hsi.licenseaffinity</w:t>
            </w:r>
          </w:p>
        </w:tc>
        <w:tc>
          <w:tcPr>
            <w:tcW w:type="dxa" w:w="1008"/>
          </w:tcPr>
          <w:p>
            <w:r/>
            <w:r>
              <w:t>0</w:t>
            </w:r>
          </w:p>
        </w:tc>
        <w:tc>
          <w:tcPr>
            <w:tcW w:type="dxa" w:w="4752"/>
          </w:tcPr>
          <w:p>
            <w:r/>
            <w:r>
              <w:t>Would pin license pools to user groups</w:t>
            </w:r>
          </w:p>
        </w:tc>
      </w:tr>
      <w:tr>
        <w:tc>
          <w:tcPr>
            <w:tcW w:type="dxa" w:w="3168"/>
          </w:tcPr>
          <w:p>
            <w:r/>
            <w:r>
              <w:t>hsi.registereddevices</w:t>
            </w:r>
          </w:p>
        </w:tc>
        <w:tc>
          <w:tcPr>
            <w:tcW w:type="dxa" w:w="1008"/>
          </w:tcPr>
          <w:p>
            <w:r/>
            <w:r>
              <w:t>0</w:t>
            </w:r>
          </w:p>
        </w:tc>
        <w:tc>
          <w:tcPr>
            <w:tcW w:type="dxa" w:w="4752"/>
          </w:tcPr>
          <w:p>
            <w:r/>
            <w:r>
              <w:t>Would hold device licenses by MAC</w:t>
            </w:r>
          </w:p>
        </w:tc>
      </w:tr>
      <w:tr>
        <w:tc>
          <w:tcPr>
            <w:tcW w:type="dxa" w:w="3168"/>
          </w:tcPr>
          <w:p>
            <w:r/>
            <w:r>
              <w:t>hsi.emaillicense</w:t>
            </w:r>
          </w:p>
        </w:tc>
        <w:tc>
          <w:tcPr>
            <w:tcW w:type="dxa" w:w="1008"/>
          </w:tcPr>
          <w:p>
            <w:r/>
            <w:r>
              <w:t>0</w:t>
            </w:r>
          </w:p>
        </w:tc>
        <w:tc>
          <w:tcPr>
            <w:tcW w:type="dxa" w:w="4752"/>
          </w:tcPr>
          <w:p>
            <w:r/>
            <w:r>
              <w:t>Exchange mailbox-count licensing</w:t>
            </w:r>
          </w:p>
        </w:tc>
      </w:tr>
      <w:tr>
        <w:tc>
          <w:tcPr>
            <w:tcW w:type="dxa" w:w="3168"/>
          </w:tcPr>
          <w:p>
            <w:r/>
            <w:r>
              <w:t>hsi.licusage</w:t>
            </w:r>
          </w:p>
        </w:tc>
        <w:tc>
          <w:tcPr>
            <w:tcW w:type="dxa" w:w="1008"/>
          </w:tcPr>
          <w:p>
            <w:r/>
            <w:r>
              <w:t>0</w:t>
            </w:r>
          </w:p>
        </w:tc>
        <w:tc>
          <w:tcPr>
            <w:tcW w:type="dxa" w:w="4752"/>
          </w:tcPr>
          <w:p>
            <w:r/>
            <w:r>
              <w:t>Usage tracking</w:t>
            </w:r>
          </w:p>
        </w:tc>
      </w:tr>
      <w:tr>
        <w:tc>
          <w:tcPr>
            <w:tcW w:type="dxa" w:w="3168"/>
          </w:tcPr>
          <w:p>
            <w:r/>
            <w:r>
              <w:t>hsi.sigtimestamplic</w:t>
            </w:r>
          </w:p>
        </w:tc>
        <w:tc>
          <w:tcPr>
            <w:tcW w:type="dxa" w:w="1008"/>
          </w:tcPr>
          <w:p>
            <w:r/>
            <w:r>
              <w:t>0</w:t>
            </w:r>
          </w:p>
        </w:tc>
        <w:tc>
          <w:tcPr>
            <w:tcW w:type="dxa" w:w="4752"/>
          </w:tcPr>
          <w:p>
            <w:r/>
            <w:r>
              <w:t>Signature timestamp licensing</w:t>
            </w:r>
          </w:p>
        </w:tc>
      </w:tr>
    </w:tbl>
    <w:p/>
    <w:p>
      <w:r>
        <w:rPr>
          <w:b w:val="0"/>
          <w:i w:val="0"/>
        </w:rPr>
        <w:t>Structural notes recorded from sys.indexes and sys.columns:</w:t>
      </w:r>
    </w:p>
    <w:p>
      <w:pPr>
        <w:pStyle w:val="ListBullet"/>
      </w:pPr>
      <w:r>
        <w:rPr>
          <w:b/>
        </w:rPr>
        <w:t xml:space="preserve">licensedproduct </w:t>
      </w:r>
      <w:r>
        <w:t>has a UNIQUE nonclustered index (licensedproduct1) plus a second non-unique index, despite holding no rows. This matters: Hyland shipped a real uniqueness constraint on it, so the table is genuine product machinery, not a vestigial leftover. Its emptiness means this install does not exercise DB-resident product licensing — not that the mechanism does not exist.</w:t>
      </w:r>
    </w:p>
    <w:p>
      <w:pPr>
        <w:pStyle w:val="ListBullet"/>
      </w:pPr>
      <w:r>
        <w:t>licensetable, licensecontrol, primarylic, secondarylic, liccertificate and licensedproductcontrol are pure heaps with no indexes at all.</w:t>
      </w:r>
    </w:p>
    <w:p>
      <w:pPr>
        <w:pStyle w:val="ListBullet"/>
      </w:pPr>
      <w:r>
        <w:t>No PRIMARY KEY and no foreign key exists on any licensing table. Any account of how these tables relate to one another is inference from naming, not from the schema.</w:t>
      </w:r>
    </w:p>
    <w:p>
      <w:pPr>
        <w:pStyle w:val="ListBullet"/>
      </w:pPr>
      <w:r>
        <w:t>licensedproduct.lpexpirationdate is INT, not a date type. primarylic.expirationdate is char(25). Reasoning that treats either as a datetime is unsound.</w:t>
      </w:r>
    </w:p>
    <w:p>
      <w:pPr>
        <w:pStyle w:val="ListBullet"/>
      </w:pPr>
      <w:r>
        <w:t>primarylic.dbvalid is char(50) while licensecontrol.dblogicalname is char(128), so dbvalid could not reliably hold a full logical database name.</w:t>
      </w:r>
    </w:p>
    <w:p>
      <w:pPr>
        <w:pStyle w:val="Heading1"/>
      </w:pPr>
      <w:r>
        <w:t>4. What is actually populated</w:t>
      </w:r>
    </w:p>
    <w:p>
      <w:pPr>
        <w:pStyle w:val="Heading2"/>
      </w:pPr>
      <w:r>
        <w:t>4.1  hsi.licensetable — a 2007 install fingerprint, not a license store</w:t>
      </w:r>
    </w:p>
    <w:tbl>
      <w:tblPr>
        <w:tblStyle w:val="LightGrid-Accent1"/>
        <w:tblW w:type="auto" w:w="0"/>
        <w:tblLook w:firstColumn="1" w:firstRow="1" w:lastColumn="0" w:lastRow="0" w:noHBand="0" w:noVBand="1" w:val="04A0"/>
      </w:tblPr>
      <w:tblGrid>
        <w:gridCol w:w="4320"/>
        <w:gridCol w:w="4320"/>
      </w:tblGrid>
      <w:tr>
        <w:tc>
          <w:tcPr>
            <w:tcW w:type="dxa" w:w="3168"/>
          </w:tcPr>
          <w:p>
            <w:r/>
            <w:r>
              <w:rPr>
                <w:b/>
              </w:rPr>
              <w:t>Column</w:t>
            </w:r>
          </w:p>
        </w:tc>
        <w:tc>
          <w:tcPr>
            <w:tcW w:type="dxa" w:w="5760"/>
          </w:tcPr>
          <w:p>
            <w:r/>
            <w:r>
              <w:rPr>
                <w:b/>
              </w:rPr>
              <w:t>Value</w:t>
            </w:r>
          </w:p>
        </w:tc>
      </w:tr>
      <w:tr>
        <w:tc>
          <w:tcPr>
            <w:tcW w:type="dxa" w:w="3168"/>
          </w:tcPr>
          <w:p>
            <w:r/>
            <w:r>
              <w:t>installid</w:t>
            </w:r>
          </w:p>
        </w:tc>
        <w:tc>
          <w:tcPr>
            <w:tcW w:type="dxa" w:w="5760"/>
          </w:tcPr>
          <w:p>
            <w:r/>
            <w:r>
              <w:t>'IST'</w:t>
            </w:r>
          </w:p>
        </w:tc>
      </w:tr>
      <w:tr>
        <w:tc>
          <w:tcPr>
            <w:tcW w:type="dxa" w:w="3168"/>
          </w:tcPr>
          <w:p>
            <w:r/>
            <w:r>
              <w:t>serialnum</w:t>
            </w:r>
          </w:p>
        </w:tc>
        <w:tc>
          <w:tcPr>
            <w:tcW w:type="dxa" w:w="5760"/>
          </w:tcPr>
          <w:p>
            <w:r/>
            <w:r>
              <w:t>'052607'</w:t>
            </w:r>
          </w:p>
        </w:tc>
      </w:tr>
      <w:tr>
        <w:tc>
          <w:tcPr>
            <w:tcW w:type="dxa" w:w="3168"/>
          </w:tcPr>
          <w:p>
            <w:r/>
            <w:r>
              <w:t>dbversion</w:t>
            </w:r>
          </w:p>
        </w:tc>
        <w:tc>
          <w:tcPr>
            <w:tcW w:type="dxa" w:w="5760"/>
          </w:tcPr>
          <w:p>
            <w:r/>
            <w:r>
              <w:t>'3.5-354'</w:t>
            </w:r>
          </w:p>
        </w:tc>
      </w:tr>
      <w:tr>
        <w:tc>
          <w:tcPr>
            <w:tcW w:type="dxa" w:w="3168"/>
          </w:tcPr>
          <w:p>
            <w:r/>
            <w:r>
              <w:t>installdate</w:t>
            </w:r>
          </w:p>
        </w:tc>
        <w:tc>
          <w:tcPr>
            <w:tcW w:type="dxa" w:w="5760"/>
          </w:tcPr>
          <w:p>
            <w:r/>
            <w:r>
              <w:t>2007-05-25 21:27:48</w:t>
            </w:r>
          </w:p>
        </w:tc>
      </w:tr>
      <w:tr>
        <w:tc>
          <w:tcPr>
            <w:tcW w:type="dxa" w:w="3168"/>
          </w:tcPr>
          <w:p>
            <w:r/>
            <w:r>
              <w:t>licenseflag</w:t>
            </w:r>
          </w:p>
        </w:tc>
        <w:tc>
          <w:tcPr>
            <w:tcW w:type="dxa" w:w="5760"/>
          </w:tcPr>
          <w:p>
            <w:r/>
            <w:r>
              <w:t>9</w:t>
            </w:r>
          </w:p>
        </w:tc>
      </w:tr>
      <w:tr>
        <w:tc>
          <w:tcPr>
            <w:tcW w:type="dxa" w:w="3168"/>
          </w:tcPr>
          <w:p>
            <w:r/>
            <w:r>
              <w:t>dbpatchctrl / exepatchctrl</w:t>
            </w:r>
          </w:p>
        </w:tc>
        <w:tc>
          <w:tcPr>
            <w:tcW w:type="dxa" w:w="5760"/>
          </w:tcPr>
          <w:p>
            <w:r/>
            <w:r>
              <w:t>0 / 3</w:t>
            </w:r>
          </w:p>
        </w:tc>
      </w:tr>
    </w:tbl>
    <w:p/>
    <w:p>
      <w:r>
        <w:rPr>
          <w:b w:val="0"/>
          <w:i w:val="0"/>
        </w:rPr>
        <w:t>The install record reports database version 3.5-354 with a May 2007 install date. OnBase 13 dates from roughly 2013–14, so this row was not written by OnBase 13 licensing. Combined with the host lineage visible in registeredusers — NARCHIVEV11 machines running 2011 to 2014, then SD2K12R2 — this is a repeatedly upgraded 2007-era database. The table records install identity and patch levels; it does not record entitlements.</w:t>
      </w:r>
    </w:p>
    <w:p>
      <w:r>
        <w:rPr>
          <w:b/>
          <w:i w:val="0"/>
        </w:rPr>
        <w:t>Consequence: generalising “how OnBase 13 registers a license” from this row is unsafe, because the row describes a different product generation.</w:t>
      </w:r>
    </w:p>
    <w:p>
      <w:pPr>
        <w:pStyle w:val="Heading2"/>
      </w:pPr>
      <w:r>
        <w:t>4.2  hsi.systemtableex — the only live licensing artifacts</w:t>
      </w:r>
    </w:p>
    <w:p>
      <w:r>
        <w:rPr>
          <w:b w:val="0"/>
          <w:i w:val="0"/>
        </w:rPr>
        <w:t>Neither of the earlier answers mentioned this table, yet it holds the only populated license-related values in the database:</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rPr>
              <w:t>Field</w:t>
            </w:r>
          </w:p>
        </w:tc>
        <w:tc>
          <w:tcPr>
            <w:tcW w:type="dxa" w:w="3456"/>
          </w:tcPr>
          <w:p>
            <w:r/>
            <w:r>
              <w:rPr>
                <w:b/>
              </w:rPr>
              <w:t>Shape</w:t>
            </w:r>
          </w:p>
        </w:tc>
        <w:tc>
          <w:tcPr>
            <w:tcW w:type="dxa" w:w="3600"/>
          </w:tcPr>
          <w:p>
            <w:r/>
            <w:r>
              <w:rPr>
                <w:b/>
              </w:rPr>
              <w:t>Reading</w:t>
            </w:r>
          </w:p>
        </w:tc>
      </w:tr>
      <w:tr>
        <w:tc>
          <w:tcPr>
            <w:tcW w:type="dxa" w:w="1872"/>
          </w:tcPr>
          <w:p>
            <w:r/>
            <w:r>
              <w:t>licensehash</w:t>
            </w:r>
          </w:p>
        </w:tc>
        <w:tc>
          <w:tcPr>
            <w:tcW w:type="dxa" w:w="3456"/>
          </w:tcPr>
          <w:p>
            <w:r/>
            <w:r>
              <w:t>255 chars, dash-delimited hex byte pairs (BF-5C-20-15-67-…)</w:t>
            </w:r>
          </w:p>
        </w:tc>
        <w:tc>
          <w:tcPr>
            <w:tcW w:type="dxa" w:w="3600"/>
          </w:tcPr>
          <w:p>
            <w:r/>
            <w:r>
              <w:t>A fingerprint or hash. Note the encoding is hex, not Base64.</w:t>
            </w:r>
          </w:p>
        </w:tc>
      </w:tr>
      <w:tr>
        <w:tc>
          <w:tcPr>
            <w:tcW w:type="dxa" w:w="1872"/>
          </w:tcPr>
          <w:p>
            <w:r/>
            <w:r>
              <w:t>encsysid</w:t>
            </w:r>
          </w:p>
        </w:tc>
        <w:tc>
          <w:tcPr>
            <w:tcW w:type="dxa" w:w="3456"/>
          </w:tcPr>
          <w:p>
            <w:r/>
            <w:r>
              <w:t>255 chars, Base64. Decodes to header 02 00 00 00 80 00 00 00 then 128 opaque bytes</w:t>
            </w:r>
          </w:p>
        </w:tc>
        <w:tc>
          <w:tcPr>
            <w:tcW w:type="dxa" w:w="3600"/>
          </w:tcPr>
          <w:p>
            <w:r/>
            <w:r>
              <w:t>Version 2, length 128. A structured encrypted system/machine identity blob — the most likely binding artifact.</w:t>
            </w:r>
          </w:p>
        </w:tc>
      </w:tr>
      <w:tr>
        <w:tc>
          <w:tcPr>
            <w:tcW w:type="dxa" w:w="1872"/>
          </w:tcPr>
          <w:p>
            <w:r/>
            <w:r>
              <w:t>internalcustid / keypart</w:t>
            </w:r>
          </w:p>
        </w:tc>
        <w:tc>
          <w:tcPr>
            <w:tcW w:type="dxa" w:w="3456"/>
          </w:tcPr>
          <w:p>
            <w:r/>
            <w:r>
              <w:t>blank</w:t>
            </w:r>
          </w:p>
        </w:tc>
        <w:tc>
          <w:tcPr>
            <w:tcW w:type="dxa" w:w="3600"/>
          </w:tcPr>
          <w:p>
            <w:r/>
            <w:r>
              <w:t>Unused on this install.</w:t>
            </w:r>
          </w:p>
        </w:tc>
      </w:tr>
    </w:tbl>
    <w:p/>
    <w:p>
      <w:r>
        <w:rPr>
          <w:b w:val="0"/>
          <w:i w:val="0"/>
        </w:rPr>
        <w:t>The hex encoding of licensehash directly contradicts the earlier claim that license material is stored as a Base64 blob. It also cannot be a hash mirrored from licensedproduct rows, because there are none.</w:t>
      </w:r>
    </w:p>
    <w:p>
      <w:pPr>
        <w:pStyle w:val="Heading2"/>
      </w:pPr>
      <w:r>
        <w:t>4.3  hsi.useraccount — per-user license flags</w:t>
      </w:r>
    </w:p>
    <w:p>
      <w:r>
        <w:rPr>
          <w:b w:val="0"/>
          <w:i w:val="0"/>
        </w:rPr>
        <w:t>Eight user accounts, with licenseflag used as a bitmask:</w:t>
      </w:r>
    </w:p>
    <w:tbl>
      <w:tblPr>
        <w:tblStyle w:val="LightGrid-Accent1"/>
        <w:tblW w:type="auto" w:w="0"/>
        <w:tblLook w:firstColumn="1" w:firstRow="1" w:lastColumn="0" w:lastRow="0" w:noHBand="0" w:noVBand="1" w:val="04A0"/>
      </w:tblPr>
      <w:tblGrid>
        <w:gridCol w:w="4320"/>
        <w:gridCol w:w="4320"/>
      </w:tblGrid>
      <w:tr>
        <w:tc>
          <w:tcPr>
            <w:tcW w:type="dxa" w:w="2304"/>
          </w:tcPr>
          <w:p>
            <w:r/>
            <w:r>
              <w:rPr>
                <w:b/>
              </w:rPr>
              <w:t>licenseflag</w:t>
            </w:r>
          </w:p>
        </w:tc>
        <w:tc>
          <w:tcPr>
            <w:tcW w:type="dxa" w:w="1728"/>
          </w:tcPr>
          <w:p>
            <w:r/>
            <w:r>
              <w:rPr>
                <w:b/>
              </w:rPr>
              <w:t>Users</w:t>
            </w:r>
          </w:p>
        </w:tc>
      </w:tr>
      <w:tr>
        <w:tc>
          <w:tcPr>
            <w:tcW w:type="dxa" w:w="2304"/>
          </w:tcPr>
          <w:p>
            <w:r/>
            <w:r>
              <w:t>0</w:t>
            </w:r>
          </w:p>
        </w:tc>
        <w:tc>
          <w:tcPr>
            <w:tcW w:type="dxa" w:w="1728"/>
          </w:tcPr>
          <w:p>
            <w:r/>
            <w:r>
              <w:t>4</w:t>
            </w:r>
          </w:p>
        </w:tc>
      </w:tr>
      <w:tr>
        <w:tc>
          <w:tcPr>
            <w:tcW w:type="dxa" w:w="2304"/>
          </w:tcPr>
          <w:p>
            <w:r/>
            <w:r>
              <w:t>4096</w:t>
            </w:r>
          </w:p>
        </w:tc>
        <w:tc>
          <w:tcPr>
            <w:tcW w:type="dxa" w:w="1728"/>
          </w:tcPr>
          <w:p>
            <w:r/>
            <w:r>
              <w:t>2</w:t>
            </w:r>
          </w:p>
        </w:tc>
      </w:tr>
      <w:tr>
        <w:tc>
          <w:tcPr>
            <w:tcW w:type="dxa" w:w="2304"/>
          </w:tcPr>
          <w:p>
            <w:r/>
            <w:r>
              <w:t>65536</w:t>
            </w:r>
          </w:p>
        </w:tc>
        <w:tc>
          <w:tcPr>
            <w:tcW w:type="dxa" w:w="1728"/>
          </w:tcPr>
          <w:p>
            <w:r/>
            <w:r>
              <w:t>2</w:t>
            </w:r>
          </w:p>
        </w:tc>
      </w:tr>
    </w:tbl>
    <w:p/>
    <w:p>
      <w:r>
        <w:rPr>
          <w:b w:val="0"/>
          <w:i w:val="0"/>
        </w:rPr>
        <w:t>This is the only per-user licensing signal that carries data in this database.</w:t>
      </w:r>
    </w:p>
    <w:p>
      <w:pPr>
        <w:pStyle w:val="Heading1"/>
      </w:pPr>
      <w:r>
        <w:t>5. hsi.registeredusers — a live station ledger</w:t>
      </w:r>
    </w:p>
    <w:p>
      <w:r>
        <w:rPr>
          <w:b w:val="0"/>
          <w:i w:val="0"/>
        </w:rPr>
        <w:t>Seven rows, every one with usernum = 0 and platformtype = 0, and every stationdesc ending in “(AUTO)”. This is an automatic workstation/station registration ledger with no user attribution — not a per-account seat ledger.</w:t>
      </w:r>
    </w:p>
    <w:tbl>
      <w:tblPr>
        <w:tblStyle w:val="LightGrid-Accent1"/>
        <w:tblW w:type="auto" w:w="0"/>
        <w:tblLook w:firstColumn="1" w:firstRow="1" w:lastColumn="0" w:lastRow="0" w:noHBand="0" w:noVBand="1" w:val="04A0"/>
      </w:tblPr>
      <w:tblGrid>
        <w:gridCol w:w="2880"/>
        <w:gridCol w:w="2880"/>
        <w:gridCol w:w="2880"/>
      </w:tblGrid>
      <w:tr>
        <w:tc>
          <w:tcPr>
            <w:tcW w:type="dxa" w:w="864"/>
          </w:tcPr>
          <w:p>
            <w:r/>
            <w:r>
              <w:rPr>
                <w:b/>
              </w:rPr>
              <w:t>#</w:t>
            </w:r>
          </w:p>
        </w:tc>
        <w:tc>
          <w:tcPr>
            <w:tcW w:type="dxa" w:w="3168"/>
          </w:tcPr>
          <w:p>
            <w:r/>
            <w:r>
              <w:rPr>
                <w:b/>
              </w:rPr>
              <w:t>Station</w:t>
            </w:r>
          </w:p>
        </w:tc>
        <w:tc>
          <w:tcPr>
            <w:tcW w:type="dxa" w:w="3456"/>
          </w:tcPr>
          <w:p>
            <w:r/>
            <w:r>
              <w:rPr>
                <w:b/>
              </w:rPr>
              <w:t>Last logon</w:t>
            </w:r>
          </w:p>
        </w:tc>
      </w:tr>
      <w:tr>
        <w:tc>
          <w:tcPr>
            <w:tcW w:type="dxa" w:w="864"/>
          </w:tcPr>
          <w:p>
            <w:r/>
            <w:r>
              <w:t>109</w:t>
            </w:r>
          </w:p>
        </w:tc>
        <w:tc>
          <w:tcPr>
            <w:tcW w:type="dxa" w:w="3168"/>
          </w:tcPr>
          <w:p>
            <w:r/>
            <w:r>
              <w:t>NARCHIVEV11</w:t>
            </w:r>
          </w:p>
        </w:tc>
        <w:tc>
          <w:tcPr>
            <w:tcW w:type="dxa" w:w="3456"/>
          </w:tcPr>
          <w:p>
            <w:r/>
            <w:r>
              <w:t>2011-11-03</w:t>
            </w:r>
          </w:p>
        </w:tc>
      </w:tr>
      <w:tr>
        <w:tc>
          <w:tcPr>
            <w:tcW w:type="dxa" w:w="864"/>
          </w:tcPr>
          <w:p>
            <w:r/>
            <w:r>
              <w:t>110</w:t>
            </w:r>
          </w:p>
        </w:tc>
        <w:tc>
          <w:tcPr>
            <w:tcW w:type="dxa" w:w="3168"/>
          </w:tcPr>
          <w:p>
            <w:r/>
            <w:r>
              <w:t>NARCHIVEV11</w:t>
            </w:r>
          </w:p>
        </w:tc>
        <w:tc>
          <w:tcPr>
            <w:tcW w:type="dxa" w:w="3456"/>
          </w:tcPr>
          <w:p>
            <w:r/>
            <w:r>
              <w:t>2014-03-11</w:t>
            </w:r>
          </w:p>
        </w:tc>
      </w:tr>
      <w:tr>
        <w:tc>
          <w:tcPr>
            <w:tcW w:type="dxa" w:w="864"/>
          </w:tcPr>
          <w:p>
            <w:r/>
            <w:r>
              <w:t>111</w:t>
            </w:r>
          </w:p>
        </w:tc>
        <w:tc>
          <w:tcPr>
            <w:tcW w:type="dxa" w:w="3168"/>
          </w:tcPr>
          <w:p>
            <w:r/>
            <w:r>
              <w:t>NARCHIVEV11WEB</w:t>
            </w:r>
          </w:p>
        </w:tc>
        <w:tc>
          <w:tcPr>
            <w:tcW w:type="dxa" w:w="3456"/>
          </w:tcPr>
          <w:p>
            <w:r/>
            <w:r>
              <w:t>2012-08-01</w:t>
            </w:r>
          </w:p>
        </w:tc>
      </w:tr>
      <w:tr>
        <w:tc>
          <w:tcPr>
            <w:tcW w:type="dxa" w:w="864"/>
          </w:tcPr>
          <w:p>
            <w:r/>
            <w:r>
              <w:t>112</w:t>
            </w:r>
          </w:p>
        </w:tc>
        <w:tc>
          <w:tcPr>
            <w:tcW w:type="dxa" w:w="3168"/>
          </w:tcPr>
          <w:p>
            <w:r/>
            <w:r>
              <w:t>NARCHIVEV11</w:t>
            </w:r>
          </w:p>
        </w:tc>
        <w:tc>
          <w:tcPr>
            <w:tcW w:type="dxa" w:w="3456"/>
          </w:tcPr>
          <w:p>
            <w:r/>
            <w:r>
              <w:t>2014-03-25</w:t>
            </w:r>
          </w:p>
        </w:tc>
      </w:tr>
      <w:tr>
        <w:tc>
          <w:tcPr>
            <w:tcW w:type="dxa" w:w="864"/>
          </w:tcPr>
          <w:p>
            <w:r/>
            <w:r>
              <w:t>113</w:t>
            </w:r>
          </w:p>
        </w:tc>
        <w:tc>
          <w:tcPr>
            <w:tcW w:type="dxa" w:w="3168"/>
          </w:tcPr>
          <w:p>
            <w:r/>
            <w:r>
              <w:t>SD2K12R2</w:t>
            </w:r>
          </w:p>
        </w:tc>
        <w:tc>
          <w:tcPr>
            <w:tcW w:type="dxa" w:w="3456"/>
          </w:tcPr>
          <w:p>
            <w:r/>
            <w:r>
              <w:t>2014-05-05</w:t>
            </w:r>
          </w:p>
        </w:tc>
      </w:tr>
      <w:tr>
        <w:tc>
          <w:tcPr>
            <w:tcW w:type="dxa" w:w="864"/>
          </w:tcPr>
          <w:p>
            <w:r/>
            <w:r>
              <w:t>114</w:t>
            </w:r>
          </w:p>
        </w:tc>
        <w:tc>
          <w:tcPr>
            <w:tcW w:type="dxa" w:w="3168"/>
          </w:tcPr>
          <w:p>
            <w:r/>
            <w:r>
              <w:t>SD2K12R2</w:t>
            </w:r>
          </w:p>
        </w:tc>
        <w:tc>
          <w:tcPr>
            <w:tcW w:type="dxa" w:w="3456"/>
          </w:tcPr>
          <w:p>
            <w:r/>
            <w:r>
              <w:t>2026-06-29</w:t>
            </w:r>
          </w:p>
        </w:tc>
      </w:tr>
      <w:tr>
        <w:tc>
          <w:tcPr>
            <w:tcW w:type="dxa" w:w="864"/>
          </w:tcPr>
          <w:p>
            <w:r/>
            <w:r>
              <w:t>115</w:t>
            </w:r>
          </w:p>
        </w:tc>
        <w:tc>
          <w:tcPr>
            <w:tcW w:type="dxa" w:w="3168"/>
          </w:tcPr>
          <w:p>
            <w:r/>
            <w:r>
              <w:t>SD2K12R2</w:t>
            </w:r>
          </w:p>
        </w:tc>
        <w:tc>
          <w:tcPr>
            <w:tcW w:type="dxa" w:w="3456"/>
          </w:tcPr>
          <w:p>
            <w:r/>
            <w:r>
              <w:t>2026-08-06 (today)</w:t>
            </w:r>
          </w:p>
        </w:tc>
      </w:tr>
    </w:tbl>
    <w:p/>
    <w:p>
      <w:r>
        <w:rPr>
          <w:b/>
          <w:i w:val="0"/>
        </w:rPr>
        <w:t>The ledger is demonstrably live. Row count moved from 6 (profiled 24 June 2026) to 7. Row #115’s lastlogon advanced from 19:21 to 20:33 between two probe runs roughly an hour apart on the same day, so that registration is actively refreshing while the environment is in use.</w:t>
      </w:r>
    </w:p>
    <w:p>
      <w:r>
        <w:rPr>
          <w:b w:val="0"/>
          <w:i w:val="0"/>
        </w:rPr>
        <w:t>Caveat on attribution: every recent row carries the guest’s own hostname (SD2K12R2), so these may be Application-Server-side auto-registrations rather than a specific client machine. What is certain is that the layer is live and being written to.</w:t>
      </w:r>
    </w:p>
    <w:p>
      <w:pPr>
        <w:pStyle w:val="Heading1"/>
      </w:pPr>
      <w:r>
        <w:t>6. Does MapSnap consume a license seat?</w:t>
      </w:r>
    </w:p>
    <w:p>
      <w:r>
        <w:rPr>
          <w:b w:val="0"/>
          <w:i w:val="0"/>
        </w:rPr>
        <w:t>Yes, on one of its two paths. An earlier answer asserted that MapSnap is “invisible to the seat accounting layer entirely.” That is false, and the contradiction is in the project’s own source.</w:t>
      </w:r>
    </w:p>
    <w:tbl>
      <w:tblPr>
        <w:tblStyle w:val="LightGrid-Accent1"/>
        <w:tblW w:type="auto" w:w="0"/>
        <w:tblLook w:firstColumn="1" w:firstRow="1" w:lastColumn="0" w:lastRow="0" w:noHBand="0" w:noVBand="1" w:val="04A0"/>
      </w:tblPr>
      <w:tblGrid>
        <w:gridCol w:w="4320"/>
        <w:gridCol w:w="4320"/>
      </w:tblGrid>
      <w:tr>
        <w:tc>
          <w:tcPr>
            <w:tcW w:type="dxa" w:w="3744"/>
          </w:tcPr>
          <w:p>
            <w:r/>
            <w:r>
              <w:rPr>
                <w:b/>
              </w:rPr>
              <w:t>Path</w:t>
            </w:r>
          </w:p>
        </w:tc>
        <w:tc>
          <w:tcPr>
            <w:tcW w:type="dxa" w:w="5184"/>
          </w:tcPr>
          <w:p>
            <w:r/>
            <w:r>
              <w:rPr>
                <w:b/>
              </w:rPr>
              <w:t>Seat impact</w:t>
            </w:r>
          </w:p>
        </w:tc>
      </w:tr>
      <w:tr>
        <w:tc>
          <w:tcPr>
            <w:tcW w:type="dxa" w:w="3744"/>
          </w:tcPr>
          <w:p>
            <w:r/>
            <w:r>
              <w:t>ODBC / SQL schema extraction</w:t>
            </w:r>
          </w:p>
        </w:tc>
        <w:tc>
          <w:tcPr>
            <w:tcW w:type="dxa" w:w="5184"/>
          </w:tcPr>
          <w:p>
            <w:r/>
            <w:r>
              <w:t>Consumes nothing. Reads catalogs; no OnBase login.</w:t>
            </w:r>
          </w:p>
        </w:tc>
      </w:tr>
      <w:tr>
        <w:tc>
          <w:tcPr>
            <w:tcW w:type="dxa" w:w="3744"/>
          </w:tcPr>
          <w:p>
            <w:r/>
            <w:r>
              <w:t>Unity API bridge (Application/onbase_unity.py)</w:t>
            </w:r>
          </w:p>
        </w:tc>
        <w:tc>
          <w:tcPr>
            <w:tcW w:type="dxa" w:w="5184"/>
          </w:tcPr>
          <w:p>
            <w:r/>
            <w:r>
              <w:t>Consumes a Unity Client seat for the duration of the session.</w:t>
            </w:r>
          </w:p>
        </w:tc>
      </w:tr>
    </w:tbl>
    <w:p/>
    <w:p>
      <w:r>
        <w:rPr>
          <w:b w:val="0"/>
          <w:i w:val="0"/>
        </w:rPr>
        <w:t>From Application/onbase_unity.py:</w:t>
      </w:r>
    </w:p>
    <w:p>
      <w:pPr>
        <w:pStyle w:val="ListBullet"/>
      </w:pPr>
      <w:r>
        <w:t>Line 41 — “The bridge opens a network session that holds a license seat until it returns, so it gets a hard ceiling rather than being allowed to hang indefinitely.”</w:t>
      </w:r>
    </w:p>
    <w:p>
      <w:pPr>
        <w:pStyle w:val="ListBullet"/>
      </w:pPr>
      <w:r>
        <w:t>Lines 54–58 — a killed bridge never reaches its disconnect, “so the Application Server holds that Unity Client seat until its own session timeout — typically 20–60 minutes”, which on a small concurrent pool can block a real person.</w:t>
      </w:r>
    </w:p>
    <w:p>
      <w:pPr>
        <w:pStyle w:val="ListBullet"/>
      </w:pPr>
      <w:r>
        <w:t>The _EnvLock docstring — “Two concurrent runs against one environment would hold two Unity Client seats for no benefit.”</w:t>
      </w:r>
    </w:p>
    <w:p>
      <w:r>
        <w:rPr>
          <w:b w:val="0"/>
          <w:i w:val="0"/>
        </w:rPr>
        <w:t>The seat is a concurrent Unity Client seat, not a named one. Operationally this matters most on customer TEST environments with small pools: an ungraceful termination strands a seat for up to an hour.</w:t>
      </w:r>
    </w:p>
    <w:p>
      <w:pPr>
        <w:pStyle w:val="Heading1"/>
      </w:pPr>
      <w:r>
        <w:t>7. Audit of the earlier answers</w:t>
      </w:r>
    </w:p>
    <w:p>
      <w:r>
        <w:rPr>
          <w:b w:val="0"/>
          <w:i w:val="0"/>
        </w:rPr>
        <w:t>Three answers were produced before the database was queried. An independent adversarial review scored them against the live evidence.</w:t>
      </w:r>
    </w:p>
    <w:tbl>
      <w:tblPr>
        <w:tblStyle w:val="LightGrid-Accent1"/>
        <w:tblW w:type="auto" w:w="0"/>
        <w:tblLook w:firstColumn="1" w:firstRow="1" w:lastColumn="0" w:lastRow="0" w:noHBand="0" w:noVBand="1" w:val="04A0"/>
      </w:tblPr>
      <w:tblGrid>
        <w:gridCol w:w="2880"/>
        <w:gridCol w:w="2880"/>
        <w:gridCol w:w="2880"/>
      </w:tblGrid>
      <w:tr>
        <w:tc>
          <w:tcPr>
            <w:tcW w:type="dxa" w:w="3312"/>
          </w:tcPr>
          <w:p>
            <w:r/>
            <w:r>
              <w:rPr>
                <w:b/>
              </w:rPr>
              <w:t>Answer</w:t>
            </w:r>
          </w:p>
        </w:tc>
        <w:tc>
          <w:tcPr>
            <w:tcW w:type="dxa" w:w="1152"/>
          </w:tcPr>
          <w:p>
            <w:r/>
            <w:r>
              <w:rPr>
                <w:b/>
              </w:rPr>
              <w:t>Score</w:t>
            </w:r>
          </w:p>
        </w:tc>
        <w:tc>
          <w:tcPr>
            <w:tcW w:type="dxa" w:w="4464"/>
          </w:tcPr>
          <w:p>
            <w:r/>
            <w:r>
              <w:rPr>
                <w:b/>
              </w:rPr>
              <w:t>Verdict</w:t>
            </w:r>
          </w:p>
        </w:tc>
      </w:tr>
      <w:tr>
        <w:tc>
          <w:tcPr>
            <w:tcW w:type="dxa" w:w="3312"/>
          </w:tcPr>
          <w:p>
            <w:r/>
            <w:r>
              <w:t>Answer 1 — the certificate-lifecycle explanation</w:t>
            </w:r>
          </w:p>
        </w:tc>
        <w:tc>
          <w:tcPr>
            <w:tcW w:type="dxa" w:w="1152"/>
          </w:tcPr>
          <w:p>
            <w:r/>
            <w:r>
              <w:t>2 / 10</w:t>
            </w:r>
          </w:p>
        </w:tc>
        <w:tc>
          <w:tcPr>
            <w:tcW w:type="dxa" w:w="4464"/>
          </w:tcPr>
          <w:p>
            <w:r/>
            <w:r>
              <w:t>Generic licensing theory presented as OnBase-specific findings. Of twelve claims, three refuted and eight unsupported. The refuted three were the ones phrased as direct observations of this system — including describing a blob in a table that has no rows.</w:t>
            </w:r>
          </w:p>
        </w:tc>
      </w:tr>
      <w:tr>
        <w:tc>
          <w:tcPr>
            <w:tcW w:type="dxa" w:w="3312"/>
          </w:tcPr>
          <w:p>
            <w:r/>
            <w:r>
              <w:t>Answer 2 — the audit of Answer 1</w:t>
            </w:r>
          </w:p>
        </w:tc>
        <w:tc>
          <w:tcPr>
            <w:tcW w:type="dxa" w:w="1152"/>
          </w:tcPr>
          <w:p>
            <w:r/>
            <w:r>
              <w:t>7 / 10</w:t>
            </w:r>
          </w:p>
        </w:tc>
        <w:tc>
          <w:tcPr>
            <w:tcW w:type="dxa" w:w="4464"/>
          </w:tcPr>
          <w:p>
            <w:r/>
            <w:r>
              <w:t>Everything checkable without a connection held up: the Unity seat contradiction, the absent keys, the type mismatches. But it missed the emptiness entirely, misread usernum=0 as “one account” when it is a no-user sentinel, and still did not flag that the question outruns the available evidence.</w:t>
            </w:r>
          </w:p>
        </w:tc>
      </w:tr>
    </w:tbl>
    <w:p/>
    <w:p>
      <w:r>
        <w:rPr>
          <w:b w:val="0"/>
          <w:i w:val="0"/>
        </w:rPr>
        <w:t>Claims that survive from the earlier answers:</w:t>
      </w:r>
    </w:p>
    <w:p>
      <w:pPr>
        <w:pStyle w:val="ListBullet"/>
      </w:pPr>
      <w:r>
        <w:t>licensetable holds exactly one row.</w:t>
      </w:r>
    </w:p>
    <w:p>
      <w:pPr>
        <w:pStyle w:val="ListBullet"/>
      </w:pPr>
      <w:r>
        <w:t>registeredusers is a genuine registration ledger.</w:t>
      </w:r>
    </w:p>
    <w:p>
      <w:pPr>
        <w:pStyle w:val="ListBullet"/>
      </w:pPr>
      <w:r>
        <w:t>There are no primary or foreign keys on any licensing table.</w:t>
      </w:r>
    </w:p>
    <w:p>
      <w:pPr>
        <w:pStyle w:val="ListBullet"/>
      </w:pPr>
      <w:r>
        <w:t>lpexpirationdate is an int and expirationdate is a char, so date-based reasoning about them is unsound.</w:t>
      </w:r>
    </w:p>
    <w:p>
      <w:pPr>
        <w:pStyle w:val="ListBullet"/>
      </w:pPr>
      <w:r>
        <w:t>The Unity bridge consumes and can strand a license seat.</w:t>
      </w:r>
    </w:p>
    <w:p>
      <w:r>
        <w:rPr>
          <w:b w:val="0"/>
          <w:i w:val="0"/>
        </w:rPr>
        <w:t>Claims retracted:</w:t>
      </w:r>
    </w:p>
    <w:p>
      <w:pPr>
        <w:pStyle w:val="ListBullet"/>
      </w:pPr>
      <w:r>
        <w:t>That a certificate blob is stored Base64-encoded in primarylic — the table is empty, and the one populated hash artifact is hex.</w:t>
      </w:r>
    </w:p>
    <w:p>
      <w:pPr>
        <w:pStyle w:val="ListBullet"/>
      </w:pPr>
      <w:r>
        <w:t>That applying a certificate expands into licensedproduct rows and writes hashes to licensedproductcontrol which are mirrored to systemtableex — no instance of this chain exists here.</w:t>
      </w:r>
    </w:p>
    <w:p>
      <w:pPr>
        <w:pStyle w:val="ListBullet"/>
      </w:pPr>
      <w:r>
        <w:t>That primarylic/secondarylic implement a staged blue/green renewal rollover — a name-shaped guess.</w:t>
      </w:r>
    </w:p>
    <w:p>
      <w:pPr>
        <w:pStyle w:val="ListBullet"/>
      </w:pPr>
      <w:r>
        <w:t>That dbvalid holds the database logical name as a binding value — unverified, and the column widths argue against it.</w:t>
      </w:r>
    </w:p>
    <w:p>
      <w:pPr>
        <w:pStyle w:val="ListBullet"/>
      </w:pPr>
      <w:r>
        <w:t>Vendor-side signing pipeline, HSM custody, and grace-period behaviour — all generic industry narrative with no evidence in this database.</w:t>
      </w:r>
    </w:p>
    <w:p>
      <w:pPr>
        <w:pStyle w:val="Heading1"/>
      </w:pPr>
      <w:r>
        <w:t>8. What would be needed to answer the original question</w:t>
      </w:r>
    </w:p>
    <w:p>
      <w:r>
        <w:rPr>
          <w:b/>
          <w:i w:val="0"/>
        </w:rPr>
        <w:t>Answerable now:</w:t>
      </w:r>
    </w:p>
    <w:p>
      <w:r>
        <w:rPr>
          <w:b w:val="0"/>
          <w:i w:val="0"/>
        </w:rPr>
        <w:t>Where the licensing tables are — the hsi lic* family listed in section 3, all empty, plus the two populated artifacts licensetable and systemtableex.</w:t>
      </w:r>
    </w:p>
    <w:p>
      <w:r>
        <w:rPr>
          <w:b/>
          <w:i w:val="0"/>
        </w:rPr>
        <w:t>Not answerable from this VM:</w:t>
      </w:r>
    </w:p>
    <w:p>
      <w:r>
        <w:rPr>
          <w:b w:val="0"/>
          <w:i w:val="0"/>
        </w:rPr>
        <w:t>How OnBase 13 registers a license. Closing that gap requires one of the following:</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rPr>
              <w:t>Route</w:t>
            </w:r>
          </w:p>
        </w:tc>
        <w:tc>
          <w:tcPr>
            <w:tcW w:type="dxa" w:w="4320"/>
          </w:tcPr>
          <w:p>
            <w:r/>
            <w:r>
              <w:rPr>
                <w:b/>
              </w:rPr>
              <w:t>What it gives</w:t>
            </w:r>
          </w:p>
        </w:tc>
        <w:tc>
          <w:tcPr>
            <w:tcW w:type="dxa" w:w="2304"/>
          </w:tcPr>
          <w:p>
            <w:r/>
            <w:r>
              <w:rPr>
                <w:b/>
              </w:rPr>
              <w:t>Feasible here?</w:t>
            </w:r>
          </w:p>
        </w:tc>
      </w:tr>
      <w:tr>
        <w:tc>
          <w:tcPr>
            <w:tcW w:type="dxa" w:w="2448"/>
          </w:tcPr>
          <w:p>
            <w:r/>
            <w:r>
              <w:t>A licensed reference OnBase 13 database</w:t>
            </w:r>
          </w:p>
        </w:tc>
        <w:tc>
          <w:tcPr>
            <w:tcW w:type="dxa" w:w="4320"/>
          </w:tcPr>
          <w:p>
            <w:r/>
            <w:r>
              <w:t>Populated primarylic / liccertificate / licensedproduct rows to diff against</w:t>
            </w:r>
          </w:p>
        </w:tc>
        <w:tc>
          <w:tcPr>
            <w:tcW w:type="dxa" w:w="2304"/>
          </w:tcPr>
          <w:p>
            <w:r/>
            <w:r>
              <w:t>Requires access to a real licensed install</w:t>
            </w:r>
          </w:p>
        </w:tc>
      </w:tr>
      <w:tr>
        <w:tc>
          <w:tcPr>
            <w:tcW w:type="dxa" w:w="2448"/>
          </w:tcPr>
          <w:p>
            <w:r/>
            <w:r>
              <w:t>Hyland license administration documentation or SDK</w:t>
            </w:r>
          </w:p>
        </w:tc>
        <w:tc>
          <w:tcPr>
            <w:tcW w:type="dxa" w:w="4320"/>
          </w:tcPr>
          <w:p>
            <w:r/>
            <w:r>
              <w:t>The authoritative mechanism, including producttype module IDs</w:t>
            </w:r>
          </w:p>
        </w:tc>
        <w:tc>
          <w:tcPr>
            <w:tcW w:type="dxa" w:w="2304"/>
          </w:tcPr>
          <w:p>
            <w:r/>
            <w:r>
              <w:t>Requires a Hyland partner or customer entitlement</w:t>
            </w:r>
          </w:p>
        </w:tc>
      </w:tr>
      <w:tr>
        <w:tc>
          <w:tcPr>
            <w:tcW w:type="dxa" w:w="2448"/>
          </w:tcPr>
          <w:p>
            <w:r/>
            <w:r>
              <w:t>Controlled experiment on this VM</w:t>
            </w:r>
          </w:p>
        </w:tc>
        <w:tc>
          <w:tcPr>
            <w:tcW w:type="dxa" w:w="4320"/>
          </w:tcPr>
          <w:p>
            <w:r/>
            <w:r>
              <w:t>Apply a license through Hyland’s utility while tracing SQL, then diff licensetable, systemtableex and the lic* family before and after</w:t>
            </w:r>
          </w:p>
        </w:tc>
        <w:tc>
          <w:tcPr>
            <w:tcW w:type="dxa" w:w="2304"/>
          </w:tcPr>
          <w:p>
            <w:r/>
            <w:r>
              <w:t>Yes — the only route available in the lab</w:t>
            </w:r>
          </w:p>
        </w:tc>
      </w:tr>
    </w:tbl>
    <w:p/>
    <w:p>
      <w:r>
        <w:rPr>
          <w:b w:val="0"/>
          <w:i w:val="0"/>
        </w:rPr>
        <w:t>The probe scripts described in section 9 constitute the “before” snapshot for that third route.</w:t>
      </w:r>
    </w:p>
    <w:p>
      <w:pPr>
        <w:pStyle w:val="Heading1"/>
      </w:pPr>
      <w:r>
        <w:t>9. Deliverables and how to re-run</w:t>
      </w:r>
    </w:p>
    <w:tbl>
      <w:tblPr>
        <w:tblStyle w:val="LightGrid-Accent1"/>
        <w:tblW w:type="auto" w:w="0"/>
        <w:tblLook w:firstColumn="1" w:firstRow="1" w:lastColumn="0" w:lastRow="0" w:noHBand="0" w:noVBand="1" w:val="04A0"/>
      </w:tblPr>
      <w:tblGrid>
        <w:gridCol w:w="4320"/>
        <w:gridCol w:w="4320"/>
      </w:tblGrid>
      <w:tr>
        <w:tc>
          <w:tcPr>
            <w:tcW w:type="dxa" w:w="3888"/>
          </w:tcPr>
          <w:p>
            <w:r/>
            <w:r>
              <w:rPr>
                <w:b/>
              </w:rPr>
              <w:t>File</w:t>
            </w:r>
          </w:p>
        </w:tc>
        <w:tc>
          <w:tcPr>
            <w:tcW w:type="dxa" w:w="5040"/>
          </w:tcPr>
          <w:p>
            <w:r/>
            <w:r>
              <w:rPr>
                <w:b/>
              </w:rPr>
              <w:t>Purpose</w:t>
            </w:r>
          </w:p>
        </w:tc>
      </w:tr>
      <w:tr>
        <w:tc>
          <w:tcPr>
            <w:tcW w:type="dxa" w:w="3888"/>
          </w:tcPr>
          <w:p>
            <w:r/>
            <w:r>
              <w:t>C:\QIH\probe_license.py</w:t>
            </w:r>
          </w:p>
        </w:tc>
        <w:tc>
          <w:tcPr>
            <w:tcW w:type="dxa" w:w="5040"/>
          </w:tcPr>
          <w:p>
            <w:r/>
            <w:r>
              <w:t>Probe 1 — row counts, table dumps, index and declared-type introspection</w:t>
            </w:r>
          </w:p>
        </w:tc>
      </w:tr>
      <w:tr>
        <w:tc>
          <w:tcPr>
            <w:tcW w:type="dxa" w:w="3888"/>
          </w:tcPr>
          <w:p>
            <w:r/>
            <w:r>
              <w:t>C:\QIH\probe_license2.py</w:t>
            </w:r>
          </w:p>
        </w:tc>
        <w:tc>
          <w:tcPr>
            <w:tcW w:type="dxa" w:w="5040"/>
          </w:tcPr>
          <w:p>
            <w:r/>
            <w:r>
              <w:t>Probe 2 — systemtableex, live state sweep, registeredusers (masked), licenseflag distribution</w:t>
            </w:r>
          </w:p>
        </w:tc>
      </w:tr>
      <w:tr>
        <w:tc>
          <w:tcPr>
            <w:tcW w:type="dxa" w:w="3888"/>
          </w:tcPr>
          <w:p>
            <w:r/>
            <w:r>
              <w:t>C:\QIH\probe_license.html</w:t>
            </w:r>
          </w:p>
        </w:tc>
        <w:tc>
          <w:tcPr>
            <w:tcW w:type="dxa" w:w="5040"/>
          </w:tcPr>
          <w:p>
            <w:r/>
            <w:r>
              <w:t>Browser UI with host override and streaming output</w:t>
            </w:r>
          </w:p>
        </w:tc>
      </w:tr>
      <w:tr>
        <w:tc>
          <w:tcPr>
            <w:tcW w:type="dxa" w:w="3888"/>
          </w:tcPr>
          <w:p>
            <w:r/>
            <w:r>
              <w:t>C:\QIH\probe_license_server.py</w:t>
            </w:r>
          </w:p>
        </w:tc>
        <w:tc>
          <w:tcPr>
            <w:tcW w:type="dxa" w:w="5040"/>
          </w:tcPr>
          <w:p>
            <w:r/>
            <w:r>
              <w:t>Local runner behind the HTML page; binds 127.0.0.1:8653</w:t>
            </w:r>
          </w:p>
        </w:tc>
      </w:tr>
      <w:tr>
        <w:tc>
          <w:tcPr>
            <w:tcW w:type="dxa" w:w="3888"/>
          </w:tcPr>
          <w:p>
            <w:r/>
            <w:r>
              <w:t>C:\QIH\probe_license.bat</w:t>
            </w:r>
          </w:p>
        </w:tc>
        <w:tc>
          <w:tcPr>
            <w:tcW w:type="dxa" w:w="5040"/>
          </w:tcPr>
          <w:p>
            <w:r/>
            <w:r>
              <w:t>One-click launcher; opens the browser automatically</w:t>
            </w:r>
          </w:p>
        </w:tc>
      </w:tr>
      <w:tr>
        <w:tc>
          <w:tcPr>
            <w:tcW w:type="dxa" w:w="3888"/>
          </w:tcPr>
          <w:p>
            <w:r/>
            <w:r>
              <w:t>C:\QIH\MapSnap_OnBase13_Licensing_Audit_2026-08-06.docx</w:t>
            </w:r>
          </w:p>
        </w:tc>
        <w:tc>
          <w:tcPr>
            <w:tcW w:type="dxa" w:w="5040"/>
          </w:tcPr>
          <w:p>
            <w:r/>
            <w:r>
              <w:t>This document</w:t>
            </w:r>
          </w:p>
        </w:tc>
      </w:tr>
    </w:tbl>
    <w:p/>
    <w:p>
      <w:r>
        <w:rPr>
          <w:b w:val="0"/>
          <w:i w:val="0"/>
        </w:rPr>
        <w:t>Both probes are read-only. Port 8653 sits inside the MapSnap family block (8650–8659) per C:\QIH\ecosystem\qi_registry.json; 8650–8652 were already occupied by cognibase and the MapSnap MCP services.</w:t>
      </w:r>
    </w:p>
    <w:p>
      <w:pPr>
        <w:pStyle w:val="Heading2"/>
      </w:pPr>
      <w:r>
        <w:t>9.1  Operational notes</w:t>
      </w:r>
    </w:p>
    <w:p>
      <w:pPr>
        <w:pStyle w:val="ListBullet"/>
      </w:pPr>
      <w:r>
        <w:t>The guest address (192.168.251.128,1433) is assigned by VMware NAT and will change after a host reboot or network reset. Both probes now read ONBASE_HOST from the environment, and the HTML page exposes it as a field — change it there rather than editing the scripts.</w:t>
      </w:r>
    </w:p>
    <w:p>
      <w:pPr>
        <w:pStyle w:val="ListBullet"/>
      </w:pPr>
      <w:r>
        <w:t>The sa password is still embedded in both probe scripts as a default, inherited from poc/test_conn.py. Now that these files live at the C:\QIH root rather than a temporary directory, moving it to ONBASE_SA_PWD or config/secrets is worth doing.</w:t>
      </w:r>
    </w:p>
    <w:p>
      <w:pPr>
        <w:pStyle w:val="ListBullet"/>
      </w:pPr>
      <w:r>
        <w:t>Certificate and hash values are deliberately truncated to length plus a short prefix in all probe output.</w:t>
      </w:r>
    </w:p>
    <w:p/>
    <w:p>
      <w:r>
        <w:rPr>
          <w:b w:val="0"/>
          <w:i/>
          <w:sz w:val="18"/>
        </w:rPr>
        <w:t>Document generated 6 August 2026. All figures in sections 3–5 were read live from the Nautilus database on that date and will drift as the environment is used — particularly registeredusers.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