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Autospacing="1" w:afterAutospacing="1"/>
        <w:outlineLvl w:val="0"/>
        <w:rPr>
          <w:rFonts w:ascii="Times New Roman" w:hAnsi="Times New Roman" w:eastAsia="Times New Roman" w:cs="Times New Roman"/>
          <w:sz w:val="24"/>
          <w:szCs w:val="24"/>
          <w:lang w:val="en-US"/>
        </w:rPr>
      </w:pPr>
      <w:r>
        <w:rPr>
          <w:rFonts w:eastAsia="Times New Roman" w:cs="Times New Roman" w:ascii="Times New Roman" w:hAnsi="Times New Roman"/>
          <w:b/>
          <w:bCs/>
          <w:kern w:val="2"/>
          <w:sz w:val="48"/>
          <w:szCs w:val="48"/>
          <w:lang w:val="en-US"/>
        </w:rPr>
        <w:t>Nanotechnology Programs at FDA</w:t>
      </w:r>
      <w:bookmarkStart w:id="0" w:name="_GoBack"/>
      <w:bookmarkEnd w:id="0"/>
    </w:p>
    <w:p>
      <w:pPr>
        <w:pStyle w:val="Normal"/>
        <w:spacing w:lineRule="auto" w:line="240" w:beforeAutospacing="1" w:afterAutospacing="1"/>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The U.S. Food and Drug Administration (FDA) regulates a wide range of products, including foods, cosmetics, drugs, devices, veterinary products, and tobacco products some of which may utilize nanotechnology or contain nanomaterials. Nanotechnology allows scientists to create, explore, and manipulate materials measured in nanometers (billionths of a meter). Such materials can have chemical, physical, and biological properties that differ from those of their larger counterparts.</w:t>
      </w:r>
    </w:p>
    <w:p>
      <w:pPr>
        <w:pStyle w:val="Normal"/>
        <w:numPr>
          <w:ilvl w:val="0"/>
          <w:numId w:val="0"/>
        </w:numPr>
        <w:spacing w:lineRule="auto" w:line="240" w:beforeAutospacing="1" w:afterAutospacing="1"/>
        <w:outlineLvl w:val="2"/>
        <w:rPr>
          <w:rFonts w:ascii="Times New Roman" w:hAnsi="Times New Roman" w:eastAsia="Times New Roman" w:cs="Times New Roman"/>
          <w:b/>
          <w:b/>
          <w:bCs/>
          <w:sz w:val="27"/>
          <w:szCs w:val="27"/>
          <w:lang w:val="en-US"/>
        </w:rPr>
      </w:pPr>
      <w:r>
        <w:rPr>
          <w:rFonts w:eastAsia="Times New Roman" w:cs="Times New Roman" w:ascii="Times New Roman" w:hAnsi="Times New Roman"/>
          <w:b/>
          <w:bCs/>
          <w:sz w:val="27"/>
          <w:szCs w:val="27"/>
          <w:lang w:val="en-US"/>
        </w:rPr>
        <w:t xml:space="preserve">FDA Activities  </w:t>
      </w:r>
    </w:p>
    <w:p>
      <w:pPr>
        <w:pStyle w:val="Normal"/>
        <w:spacing w:lineRule="auto" w:line="240" w:beforeAutospacing="1" w:afterAutospacing="1"/>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FDA staff are involved in many activities intended to build regulatory science knowledge, facilitate collaborations and partnerships with stakeholders, and establish a flexible, product-focused, science-based approach to regulation of products that involve nanomaterials or applications of nanotechnology.  We undertake these efforts to facilitate innovation, help ensure timely and clear communication regarding FDA's nanotechnology activities, and to fulfill FDA's mission to safeguard the public's health.  For more information about specific activities, see:</w:t>
      </w:r>
    </w:p>
    <w:p>
      <w:pPr>
        <w:pStyle w:val="Normal"/>
        <w:numPr>
          <w:ilvl w:val="0"/>
          <w:numId w:val="1"/>
        </w:numPr>
        <w:spacing w:lineRule="auto" w:line="240" w:beforeAutospacing="1" w:after="0"/>
        <w:rPr/>
      </w:pPr>
      <w:r>
        <w:rPr>
          <w:rFonts w:eastAsia="Times New Roman" w:cs="Times New Roman" w:ascii="Times New Roman" w:hAnsi="Times New Roman"/>
          <w:color w:val="0000FF"/>
          <w:sz w:val="24"/>
          <w:szCs w:val="24"/>
          <w:u w:val="single"/>
          <w:lang w:val="en-US"/>
        </w:rPr>
        <w:t>Nanotechnology Task Force</w:t>
      </w:r>
    </w:p>
    <w:p>
      <w:pPr>
        <w:pStyle w:val="Normal"/>
        <w:numPr>
          <w:ilvl w:val="0"/>
          <w:numId w:val="1"/>
        </w:numPr>
        <w:spacing w:lineRule="auto" w:line="240" w:before="0" w:after="0"/>
        <w:rPr/>
      </w:pPr>
      <w:r>
        <w:rPr>
          <w:rFonts w:eastAsia="Times New Roman" w:cs="Times New Roman" w:ascii="Times New Roman" w:hAnsi="Times New Roman"/>
          <w:color w:val="0000FF"/>
          <w:sz w:val="24"/>
          <w:szCs w:val="24"/>
          <w:u w:val="single"/>
          <w:lang w:val="en-US"/>
        </w:rPr>
        <w:t>Nanotechnology Task Force Report</w:t>
      </w:r>
    </w:p>
    <w:p>
      <w:pPr>
        <w:pStyle w:val="Normal"/>
        <w:numPr>
          <w:ilvl w:val="0"/>
          <w:numId w:val="1"/>
        </w:numPr>
        <w:spacing w:lineRule="auto" w:line="240" w:before="0" w:after="0"/>
        <w:rPr/>
      </w:pPr>
      <w:r>
        <w:rPr>
          <w:rFonts w:eastAsia="Times New Roman" w:cs="Times New Roman" w:ascii="Times New Roman" w:hAnsi="Times New Roman"/>
          <w:color w:val="0000FF"/>
          <w:sz w:val="24"/>
          <w:szCs w:val="24"/>
          <w:u w:val="single"/>
          <w:lang w:val="en-US"/>
        </w:rPr>
        <w:t>Nanotechnology Guidance Documents</w:t>
      </w:r>
    </w:p>
    <w:p>
      <w:pPr>
        <w:pStyle w:val="Normal"/>
        <w:numPr>
          <w:ilvl w:val="0"/>
          <w:numId w:val="1"/>
        </w:numPr>
        <w:spacing w:lineRule="auto" w:line="240" w:before="0" w:afterAutospacing="1"/>
        <w:rPr/>
      </w:pPr>
      <w:r>
        <w:rPr>
          <w:rFonts w:eastAsia="Times New Roman" w:cs="Times New Roman" w:ascii="Times New Roman" w:hAnsi="Times New Roman"/>
          <w:color w:val="0000FF"/>
          <w:sz w:val="24"/>
          <w:szCs w:val="24"/>
          <w:u w:val="single"/>
          <w:lang w:val="en-US"/>
        </w:rPr>
        <w:t>Nanotechnology Partnerships at FDA</w:t>
      </w:r>
      <w:r>
        <w:rPr>
          <w:rFonts w:eastAsia="Times New Roman" w:cs="Times New Roman" w:ascii="Times New Roman" w:hAnsi="Times New Roman"/>
          <w:sz w:val="24"/>
          <w:szCs w:val="24"/>
          <w:lang w:val="en-US"/>
        </w:rPr>
        <w:t> </w:t>
      </w:r>
    </w:p>
    <w:p>
      <w:pPr>
        <w:pStyle w:val="Normal"/>
        <w:numPr>
          <w:ilvl w:val="0"/>
          <w:numId w:val="0"/>
        </w:numPr>
        <w:spacing w:lineRule="auto" w:line="240" w:beforeAutospacing="1" w:afterAutospacing="1"/>
        <w:outlineLvl w:val="2"/>
        <w:rPr>
          <w:rFonts w:ascii="Times New Roman" w:hAnsi="Times New Roman" w:eastAsia="Times New Roman" w:cs="Times New Roman"/>
          <w:b/>
          <w:b/>
          <w:bCs/>
          <w:sz w:val="27"/>
          <w:szCs w:val="27"/>
          <w:lang w:val="en-US"/>
        </w:rPr>
      </w:pPr>
      <w:r>
        <w:rPr>
          <w:rFonts w:eastAsia="Times New Roman" w:cs="Times New Roman" w:ascii="Times New Roman" w:hAnsi="Times New Roman"/>
          <w:b/>
          <w:bCs/>
          <w:sz w:val="27"/>
          <w:szCs w:val="27"/>
          <w:lang w:val="en-US"/>
        </w:rPr>
        <w:t>National Activities </w:t>
      </w:r>
    </w:p>
    <w:p>
      <w:pPr>
        <w:pStyle w:val="Normal"/>
        <w:spacing w:lineRule="auto" w:line="240" w:beforeAutospacing="1" w:afterAutospacing="1"/>
        <w:rPr/>
      </w:pPr>
      <w:r>
        <w:rPr>
          <w:rFonts w:eastAsia="Times New Roman" w:cs="Times New Roman" w:ascii="Times New Roman" w:hAnsi="Times New Roman"/>
          <w:sz w:val="24"/>
          <w:szCs w:val="24"/>
          <w:lang w:val="en-US"/>
        </w:rPr>
        <w:t xml:space="preserve">FDA is a member agency in the </w:t>
      </w:r>
      <w:r>
        <w:rPr>
          <w:rFonts w:eastAsia="Times New Roman" w:cs="Times New Roman" w:ascii="Times New Roman" w:hAnsi="Times New Roman"/>
          <w:color w:val="0000FF"/>
          <w:sz w:val="24"/>
          <w:szCs w:val="24"/>
          <w:u w:val="single"/>
          <w:lang w:val="en-US"/>
        </w:rPr>
        <w:t>National Nanotechnology Initiative (NNI)</w:t>
      </w:r>
      <w:r>
        <w:rPr>
          <w:rFonts w:eastAsia="Times New Roman" w:cs="Times New Roman" w:ascii="Times New Roman" w:hAnsi="Times New Roman"/>
          <w:sz w:val="24"/>
          <w:szCs w:val="24"/>
          <w:lang w:val="en-US"/>
        </w:rPr>
        <w:t>, a federal research and development program established to coordinate the multi-agency efforts in nanoscale science, engineering, and technology.  The goals of the NNI are to:</w:t>
      </w:r>
    </w:p>
    <w:p>
      <w:pPr>
        <w:pStyle w:val="Normal"/>
        <w:numPr>
          <w:ilvl w:val="0"/>
          <w:numId w:val="2"/>
        </w:numPr>
        <w:spacing w:lineRule="auto" w:line="240" w:beforeAutospacing="1"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Maintain a world-class research and development program aimed at realizing the full potential of nanotechnology;</w:t>
      </w:r>
    </w:p>
    <w:p>
      <w:pPr>
        <w:pStyle w:val="Normal"/>
        <w:numPr>
          <w:ilvl w:val="0"/>
          <w:numId w:val="2"/>
        </w:numPr>
        <w:spacing w:lineRule="auto" w:line="24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Facilitate transfer of new technologies into products for economic growth, jobs, and other public benefit;</w:t>
      </w:r>
    </w:p>
    <w:p>
      <w:pPr>
        <w:pStyle w:val="Normal"/>
        <w:numPr>
          <w:ilvl w:val="0"/>
          <w:numId w:val="2"/>
        </w:numPr>
        <w:spacing w:lineRule="auto" w:line="24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Develop educational resources a skilled workforce, and the supporting infrastructure and tools to advance nanotechnology; and</w:t>
      </w:r>
    </w:p>
    <w:p>
      <w:pPr>
        <w:pStyle w:val="Normal"/>
        <w:numPr>
          <w:ilvl w:val="0"/>
          <w:numId w:val="2"/>
        </w:numPr>
        <w:spacing w:lineRule="auto" w:line="240" w:before="0" w:afterAutospacing="1"/>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Support responsible development of nanotechnology.</w:t>
      </w:r>
    </w:p>
    <w:p>
      <w:pPr>
        <w:pStyle w:val="Normal"/>
        <w:spacing w:lineRule="auto" w:line="240" w:beforeAutospacing="1" w:afterAutospacing="1"/>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FDA Centers are conducting research within programs that support their specific regulatory priorities for nanotechnology products.  Participation in the NNI provides FDA and other regulatory and research funding agencies the opportunity to define their research needs. </w:t>
      </w:r>
    </w:p>
    <w:p>
      <w:pPr>
        <w:pStyle w:val="Normal"/>
        <w:numPr>
          <w:ilvl w:val="0"/>
          <w:numId w:val="0"/>
        </w:numPr>
        <w:spacing w:lineRule="auto" w:line="240" w:beforeAutospacing="1" w:afterAutospacing="1"/>
        <w:outlineLvl w:val="2"/>
        <w:rPr>
          <w:rFonts w:ascii="Times New Roman" w:hAnsi="Times New Roman" w:eastAsia="Times New Roman" w:cs="Times New Roman"/>
          <w:b/>
          <w:b/>
          <w:bCs/>
          <w:sz w:val="27"/>
          <w:szCs w:val="27"/>
          <w:lang w:val="en-US"/>
        </w:rPr>
      </w:pPr>
      <w:r>
        <w:rPr>
          <w:rFonts w:eastAsia="Times New Roman" w:cs="Times New Roman" w:ascii="Times New Roman" w:hAnsi="Times New Roman"/>
          <w:b/>
          <w:bCs/>
          <w:sz w:val="27"/>
          <w:szCs w:val="27"/>
          <w:lang w:val="en-US"/>
        </w:rPr>
        <w:t>International Activities</w:t>
      </w:r>
    </w:p>
    <w:p>
      <w:pPr>
        <w:pStyle w:val="Normal"/>
        <w:spacing w:lineRule="auto" w:line="240" w:beforeAutospacing="1" w:afterAutospacing="1"/>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FDA works with international stakeholders, including regulatory agencies, to share perspectives and information on the regulation of nanotechnology products.  FDA also participates in international forums including the:</w:t>
      </w:r>
    </w:p>
    <w:p>
      <w:pPr>
        <w:pStyle w:val="Normal"/>
        <w:numPr>
          <w:ilvl w:val="0"/>
          <w:numId w:val="3"/>
        </w:numPr>
        <w:spacing w:lineRule="auto" w:line="240" w:beforeAutospacing="1" w:after="0"/>
        <w:rPr/>
      </w:pPr>
      <w:r>
        <w:rPr>
          <w:rFonts w:eastAsia="Times New Roman" w:cs="Times New Roman" w:ascii="Times New Roman" w:hAnsi="Times New Roman"/>
          <w:color w:val="0000FF"/>
          <w:sz w:val="24"/>
          <w:szCs w:val="24"/>
          <w:u w:val="single"/>
          <w:lang w:val="en-US"/>
        </w:rPr>
        <w:t>International Organization for Standardization (ISO)External Link Disclaimer</w:t>
      </w:r>
      <w:r>
        <w:rPr>
          <w:rFonts w:eastAsia="Times New Roman" w:cs="Times New Roman" w:ascii="Times New Roman" w:hAnsi="Times New Roman"/>
          <w:color w:val="0000FF"/>
          <w:sz w:val="24"/>
          <w:szCs w:val="24"/>
          <w:u w:val="single"/>
          <w:lang w:val="en-US"/>
        </w:rPr>
        <mc:AlternateContent>
          <mc:Choice Requires="wps">
            <w:drawing>
              <wp:inline distT="0" distB="0" distL="0" distR="0">
                <wp:extent cx="100330" cy="100330"/>
                <wp:effectExtent l="0" t="0" r="0" b="0"/>
                <wp:docPr id="1" name=""/>
                <a:graphic xmlns:a="http://schemas.openxmlformats.org/drawingml/2006/main">
                  <a:graphicData uri="http://schemas.microsoft.com/office/word/2010/wordprocessingShape">
                    <wps:wsp>
                      <wps:cNvSpPr/>
                      <wps:spPr>
                        <a:xfrm>
                          <a:off x="0" y="0"/>
                          <a:ext cx="99720" cy="9972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7.9pt;width:7.8pt;height:7.8pt;mso-position-vertical:top">
                <w10:wrap type="none"/>
                <v:fill o:detectmouseclick="t" on="false"/>
                <v:stroke color="#3465a4" joinstyle="round" endcap="flat"/>
              </v:rect>
            </w:pict>
          </mc:Fallback>
        </mc:AlternateContent>
      </w:r>
    </w:p>
    <w:p>
      <w:pPr>
        <w:pStyle w:val="Normal"/>
        <w:numPr>
          <w:ilvl w:val="0"/>
          <w:numId w:val="3"/>
        </w:numPr>
        <w:spacing w:lineRule="auto" w:line="240" w:before="0" w:afterAutospacing="1"/>
        <w:rPr/>
      </w:pPr>
      <w:r>
        <w:rPr>
          <w:rFonts w:eastAsia="Times New Roman" w:cs="Times New Roman" w:ascii="Times New Roman" w:hAnsi="Times New Roman"/>
          <w:color w:val="0000FF"/>
          <w:sz w:val="24"/>
          <w:szCs w:val="24"/>
          <w:u w:val="single"/>
          <w:lang w:val="en-US"/>
        </w:rPr>
        <w:t>Organisation for Economic Co-operation and Development (OECD)External Link Disclaimer</w:t>
      </w:r>
      <w:r>
        <w:rPr>
          <w:rFonts w:eastAsia="Times New Roman" w:cs="Times New Roman" w:ascii="Times New Roman" w:hAnsi="Times New Roman"/>
          <w:color w:val="0000FF"/>
          <w:sz w:val="24"/>
          <w:szCs w:val="24"/>
          <w:u w:val="single"/>
          <w:lang w:val="en-US"/>
        </w:rPr>
        <mc:AlternateContent>
          <mc:Choice Requires="wps">
            <w:drawing>
              <wp:inline distT="0" distB="0" distL="0" distR="0">
                <wp:extent cx="100330" cy="100330"/>
                <wp:effectExtent l="0" t="0" r="0" b="0"/>
                <wp:docPr id="2" name=""/>
                <a:graphic xmlns:a="http://schemas.openxmlformats.org/drawingml/2006/main">
                  <a:graphicData uri="http://schemas.microsoft.com/office/word/2010/wordprocessingShape">
                    <wps:wsp>
                      <wps:cNvSpPr/>
                      <wps:spPr>
                        <a:xfrm>
                          <a:off x="0" y="0"/>
                          <a:ext cx="99720" cy="9972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7.9pt;width:7.8pt;height:7.8pt;mso-position-vertical:top">
                <w10:wrap type="none"/>
                <v:fill o:detectmouseclick="t" on="false"/>
                <v:stroke color="#3465a4" joinstyle="round" endcap="flat"/>
              </v:rect>
            </w:pict>
          </mc:Fallback>
        </mc:AlternateContent>
      </w:r>
    </w:p>
    <w:p>
      <w:pPr>
        <w:pStyle w:val="Normal"/>
        <w:spacing w:before="0" w:after="200"/>
        <w:rPr/>
      </w:pPr>
      <w:r>
        <w:rPr/>
      </w:r>
    </w:p>
    <w:sectPr>
      <w:type w:val="nextPage"/>
      <w:pgSz w:w="11906" w:h="16838"/>
      <w:pgMar w:left="1417" w:right="1417" w:header="0" w:top="1417" w:footer="0" w:bottom="1417" w:gutter="0"/>
      <w:pgNumType w:fmt="decimal"/>
      <w:formProt w:val="false"/>
      <w:textDirection w:val="lrTb"/>
      <w:docGrid w:type="default" w:linePitch="360" w:charSpace="1413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Calibri" w:cs="" w:cstheme="minorBidi" w:eastAsia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302" w:before="0" w:after="200"/>
      <w:jc w:val="left"/>
    </w:pPr>
    <w:rPr>
      <w:rFonts w:ascii="Verdana" w:hAnsi="Verdana" w:eastAsia="Calibri" w:cs="" w:cstheme="minorBidi" w:eastAsiaTheme="minorHAnsi"/>
      <w:color w:val="auto"/>
      <w:kern w:val="0"/>
      <w:sz w:val="17"/>
      <w:szCs w:val="22"/>
      <w:lang w:val="en-GB" w:eastAsia="en-US" w:bidi="ar-SA"/>
    </w:rPr>
  </w:style>
  <w:style w:type="paragraph" w:styleId="Heading1">
    <w:name w:val="Heading 1"/>
    <w:basedOn w:val="Normal"/>
    <w:link w:val="Heading1Char"/>
    <w:uiPriority w:val="9"/>
    <w:qFormat/>
    <w:rsid w:val="00050161"/>
    <w:pPr>
      <w:spacing w:lineRule="auto" w:line="240" w:beforeAutospacing="1" w:afterAutospacing="1"/>
      <w:outlineLvl w:val="0"/>
    </w:pPr>
    <w:rPr>
      <w:rFonts w:ascii="Times New Roman" w:hAnsi="Times New Roman" w:eastAsia="Times New Roman" w:cs="Times New Roman"/>
      <w:b/>
      <w:bCs/>
      <w:kern w:val="2"/>
      <w:sz w:val="48"/>
      <w:szCs w:val="48"/>
      <w:lang w:val="en-US"/>
    </w:rPr>
  </w:style>
  <w:style w:type="paragraph" w:styleId="Heading3">
    <w:name w:val="Heading 3"/>
    <w:basedOn w:val="Normal"/>
    <w:link w:val="Heading3Char"/>
    <w:uiPriority w:val="9"/>
    <w:qFormat/>
    <w:rsid w:val="00050161"/>
    <w:pPr>
      <w:spacing w:lineRule="auto" w:line="240" w:beforeAutospacing="1" w:afterAutospacing="1"/>
      <w:outlineLvl w:val="2"/>
    </w:pPr>
    <w:rPr>
      <w:rFonts w:ascii="Times New Roman" w:hAnsi="Times New Roman" w:eastAsia="Times New Roman" w:cs="Times New Roman"/>
      <w:b/>
      <w:bCs/>
      <w:sz w:val="27"/>
      <w:szCs w:val="27"/>
      <w:lang w:val="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50161"/>
    <w:rPr>
      <w:rFonts w:ascii="Times New Roman" w:hAnsi="Times New Roman" w:eastAsia="Times New Roman" w:cs="Times New Roman"/>
      <w:b/>
      <w:bCs/>
      <w:kern w:val="2"/>
      <w:sz w:val="48"/>
      <w:szCs w:val="48"/>
      <w:lang w:val="en-US"/>
    </w:rPr>
  </w:style>
  <w:style w:type="character" w:styleId="Heading3Char" w:customStyle="1">
    <w:name w:val="Heading 3 Char"/>
    <w:basedOn w:val="DefaultParagraphFont"/>
    <w:link w:val="Heading3"/>
    <w:uiPriority w:val="9"/>
    <w:qFormat/>
    <w:rsid w:val="00050161"/>
    <w:rPr>
      <w:rFonts w:ascii="Times New Roman" w:hAnsi="Times New Roman" w:eastAsia="Times New Roman" w:cs="Times New Roman"/>
      <w:b/>
      <w:bCs/>
      <w:sz w:val="27"/>
      <w:szCs w:val="27"/>
      <w:lang w:val="en-US"/>
    </w:rPr>
  </w:style>
  <w:style w:type="character" w:styleId="InternetLink">
    <w:name w:val="Internet Link"/>
    <w:basedOn w:val="DefaultParagraphFont"/>
    <w:uiPriority w:val="99"/>
    <w:semiHidden/>
    <w:unhideWhenUsed/>
    <w:rsid w:val="00050161"/>
    <w:rPr>
      <w:color w:val="0000FF"/>
      <w:u w:val="single"/>
    </w:rPr>
  </w:style>
  <w:style w:type="character" w:styleId="Strong">
    <w:name w:val="Strong"/>
    <w:basedOn w:val="DefaultParagraphFont"/>
    <w:uiPriority w:val="22"/>
    <w:qFormat/>
    <w:rsid w:val="00050161"/>
    <w:rPr>
      <w:b/>
      <w:bCs/>
    </w:rPr>
  </w:style>
  <w:style w:type="character" w:styleId="Sronly" w:customStyle="1">
    <w:name w:val="sr-only"/>
    <w:basedOn w:val="DefaultParagraphFont"/>
    <w:qFormat/>
    <w:rsid w:val="00050161"/>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Times New Roman" w:hAnsi="Times New Roman"/>
      <w:sz w:val="24"/>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Times New Roman" w:hAnsi="Times New Roman"/>
      <w:sz w:val="24"/>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Times New Roman" w:hAnsi="Times New Roman" w:eastAsia="Times New Roman" w:cs="Times New Roman"/>
      <w:color w:val="0000FF"/>
      <w:sz w:val="24"/>
      <w:szCs w:val="24"/>
      <w:u w:val="single"/>
      <w:lang w:val="en-US"/>
    </w:rPr>
  </w:style>
  <w:style w:type="character" w:styleId="ListLabel29">
    <w:name w:val="ListLabel 29"/>
    <w:qFormat/>
    <w:rPr>
      <w:rFonts w:cs="Symbol"/>
      <w:sz w:val="24"/>
    </w:rPr>
  </w:style>
  <w:style w:type="character" w:styleId="ListLabel30">
    <w:name w:val="ListLabel 30"/>
    <w:qFormat/>
    <w:rPr>
      <w:rFonts w:cs="Courier New"/>
      <w:sz w:val="20"/>
    </w:rPr>
  </w:style>
  <w:style w:type="character" w:styleId="ListLabel31">
    <w:name w:val="ListLabel 31"/>
    <w:qFormat/>
    <w:rPr>
      <w:rFonts w:cs="Wingdings"/>
      <w:sz w:val="20"/>
    </w:rPr>
  </w:style>
  <w:style w:type="character" w:styleId="ListLabel32">
    <w:name w:val="ListLabel 32"/>
    <w:qFormat/>
    <w:rPr>
      <w:rFonts w:cs="Wingdings"/>
      <w:sz w:val="20"/>
    </w:rPr>
  </w:style>
  <w:style w:type="character" w:styleId="ListLabel33">
    <w:name w:val="ListLabel 33"/>
    <w:qFormat/>
    <w:rPr>
      <w:rFonts w:cs="Wingdings"/>
      <w:sz w:val="20"/>
    </w:rPr>
  </w:style>
  <w:style w:type="character" w:styleId="ListLabel34">
    <w:name w:val="ListLabel 34"/>
    <w:qFormat/>
    <w:rPr>
      <w:rFonts w:cs="Wingdings"/>
      <w:sz w:val="20"/>
    </w:rPr>
  </w:style>
  <w:style w:type="character" w:styleId="ListLabel35">
    <w:name w:val="ListLabel 35"/>
    <w:qFormat/>
    <w:rPr>
      <w:rFonts w:cs="Wingdings"/>
      <w:sz w:val="20"/>
    </w:rPr>
  </w:style>
  <w:style w:type="character" w:styleId="ListLabel36">
    <w:name w:val="ListLabel 36"/>
    <w:qFormat/>
    <w:rPr>
      <w:rFonts w:cs="Wingdings"/>
      <w:sz w:val="20"/>
    </w:rPr>
  </w:style>
  <w:style w:type="character" w:styleId="ListLabel37">
    <w:name w:val="ListLabel 37"/>
    <w:qFormat/>
    <w:rPr>
      <w:rFonts w:cs="Wingdings"/>
      <w:sz w:val="20"/>
    </w:rPr>
  </w:style>
  <w:style w:type="character" w:styleId="ListLabel38">
    <w:name w:val="ListLabel 38"/>
    <w:qFormat/>
    <w:rPr>
      <w:rFonts w:cs="Symbol"/>
      <w:sz w:val="24"/>
    </w:rPr>
  </w:style>
  <w:style w:type="character" w:styleId="ListLabel39">
    <w:name w:val="ListLabel 39"/>
    <w:qFormat/>
    <w:rPr>
      <w:rFonts w:cs="Courier New"/>
      <w:sz w:val="20"/>
    </w:rPr>
  </w:style>
  <w:style w:type="character" w:styleId="ListLabel40">
    <w:name w:val="ListLabel 40"/>
    <w:qFormat/>
    <w:rPr>
      <w:rFonts w:cs="Wingdings"/>
      <w:sz w:val="20"/>
    </w:rPr>
  </w:style>
  <w:style w:type="character" w:styleId="ListLabel41">
    <w:name w:val="ListLabel 41"/>
    <w:qFormat/>
    <w:rPr>
      <w:rFonts w:cs="Wingdings"/>
      <w:sz w:val="20"/>
    </w:rPr>
  </w:style>
  <w:style w:type="character" w:styleId="ListLabel42">
    <w:name w:val="ListLabel 42"/>
    <w:qFormat/>
    <w:rPr>
      <w:rFonts w:cs="Wingdings"/>
      <w:sz w:val="20"/>
    </w:rPr>
  </w:style>
  <w:style w:type="character" w:styleId="ListLabel43">
    <w:name w:val="ListLabel 43"/>
    <w:qFormat/>
    <w:rPr>
      <w:rFonts w:cs="Wingdings"/>
      <w:sz w:val="20"/>
    </w:rPr>
  </w:style>
  <w:style w:type="character" w:styleId="ListLabel44">
    <w:name w:val="ListLabel 44"/>
    <w:qFormat/>
    <w:rPr>
      <w:rFonts w:cs="Wingdings"/>
      <w:sz w:val="20"/>
    </w:rPr>
  </w:style>
  <w:style w:type="character" w:styleId="ListLabel45">
    <w:name w:val="ListLabel 45"/>
    <w:qFormat/>
    <w:rPr>
      <w:rFonts w:cs="Wingdings"/>
      <w:sz w:val="20"/>
    </w:rPr>
  </w:style>
  <w:style w:type="character" w:styleId="ListLabel46">
    <w:name w:val="ListLabel 46"/>
    <w:qFormat/>
    <w:rPr>
      <w:rFonts w:cs="Wingdings"/>
      <w:sz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center" w:customStyle="1">
    <w:name w:val="text-center"/>
    <w:basedOn w:val="Normal"/>
    <w:qFormat/>
    <w:rsid w:val="00050161"/>
    <w:pPr>
      <w:spacing w:lineRule="auto" w:line="240" w:beforeAutospacing="1" w:afterAutospacing="1"/>
    </w:pPr>
    <w:rPr>
      <w:rFonts w:ascii="Times New Roman" w:hAnsi="Times New Roman" w:eastAsia="Times New Roman" w:cs="Times New Roman"/>
      <w:sz w:val="24"/>
      <w:szCs w:val="24"/>
      <w:lang w:val="en-US"/>
    </w:rPr>
  </w:style>
  <w:style w:type="paragraph" w:styleId="NormalWeb">
    <w:name w:val="Normal (Web)"/>
    <w:basedOn w:val="Normal"/>
    <w:uiPriority w:val="99"/>
    <w:semiHidden/>
    <w:unhideWhenUsed/>
    <w:qFormat/>
    <w:rsid w:val="00050161"/>
    <w:pPr>
      <w:spacing w:lineRule="auto" w:line="240" w:beforeAutospacing="1" w:afterAutospacing="1"/>
    </w:pPr>
    <w:rPr>
      <w:rFonts w:ascii="Times New Roman" w:hAnsi="Times New Roman" w:eastAsia="Times New Roman" w:cs="Times New Roman"/>
      <w:sz w:val="24"/>
      <w:szCs w:val="24"/>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8F18FEF7.dotm</Template>
  <TotalTime>2</TotalTime>
  <Application>LibreOffice/6.0.7.3$Linux_X86_64 LibreOffice_project/00m0$Build-3</Application>
  <Pages>2</Pages>
  <Words>336</Words>
  <Characters>2243</Characters>
  <CharactersWithSpaces>2560</CharactersWithSpaces>
  <Paragraphs>19</Paragraphs>
  <Company>Wageningen University and Research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2019-06-05T13:00:00Z</dcterms:created>
  <dc:creator>Gommeh, Efrat</dc:creator>
  <dc:description/>
  <dc:language>en-US</dc:language>
  <cp:lastModifiedBy/>
  <dcterms:modified xsi:type="dcterms:W3CDTF">2020-01-15T16:27:48Z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Wageningen University and Research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