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CF9A" w14:textId="31C8C45F" w:rsidR="00B72884" w:rsidRDefault="00B72884" w:rsidP="00B72884">
      <w:pPr>
        <w:spacing w:line="240" w:lineRule="auto"/>
        <w:jc w:val="center"/>
        <w:rPr>
          <w:b/>
          <w:sz w:val="28"/>
          <w:szCs w:val="28"/>
        </w:rPr>
      </w:pPr>
      <w:r>
        <w:rPr>
          <w:b/>
          <w:sz w:val="28"/>
          <w:szCs w:val="28"/>
        </w:rPr>
        <w:t>ECE 26</w:t>
      </w:r>
      <w:r w:rsidRPr="00DE42C5">
        <w:rPr>
          <w:b/>
          <w:sz w:val="28"/>
          <w:szCs w:val="28"/>
        </w:rPr>
        <w:t>0</w:t>
      </w:r>
      <w:r w:rsidR="00E130E8">
        <w:rPr>
          <w:b/>
          <w:sz w:val="28"/>
          <w:szCs w:val="28"/>
        </w:rPr>
        <w:t>:</w:t>
      </w:r>
      <w:r w:rsidRPr="00DE42C5">
        <w:rPr>
          <w:b/>
          <w:sz w:val="28"/>
          <w:szCs w:val="28"/>
        </w:rPr>
        <w:t xml:space="preserve"> </w:t>
      </w:r>
      <w:r>
        <w:rPr>
          <w:b/>
          <w:sz w:val="28"/>
          <w:szCs w:val="28"/>
        </w:rPr>
        <w:t xml:space="preserve">Fundamentals </w:t>
      </w:r>
      <w:r w:rsidR="00E45B00">
        <w:rPr>
          <w:b/>
          <w:sz w:val="28"/>
          <w:szCs w:val="28"/>
        </w:rPr>
        <w:t>of Computer Engineering – Lab #7</w:t>
      </w:r>
      <w:r>
        <w:rPr>
          <w:b/>
          <w:sz w:val="28"/>
          <w:szCs w:val="28"/>
        </w:rPr>
        <w:br/>
      </w:r>
      <w:r w:rsidR="005C60A2">
        <w:rPr>
          <w:b/>
          <w:sz w:val="28"/>
          <w:szCs w:val="28"/>
        </w:rPr>
        <w:t xml:space="preserve">Introduction to </w:t>
      </w:r>
      <w:r w:rsidR="00767269">
        <w:rPr>
          <w:b/>
          <w:sz w:val="28"/>
          <w:szCs w:val="28"/>
        </w:rPr>
        <w:t>Floating</w:t>
      </w:r>
      <w:r w:rsidR="00E0714E">
        <w:rPr>
          <w:b/>
          <w:sz w:val="28"/>
          <w:szCs w:val="28"/>
        </w:rPr>
        <w:t>-</w:t>
      </w:r>
      <w:r w:rsidR="00767269">
        <w:rPr>
          <w:b/>
          <w:sz w:val="28"/>
          <w:szCs w:val="28"/>
        </w:rPr>
        <w:t>Point Operations</w:t>
      </w:r>
    </w:p>
    <w:p w14:paraId="2F5F1579" w14:textId="77777777" w:rsidR="00B72884" w:rsidRDefault="00B72884" w:rsidP="00B72884">
      <w:pPr>
        <w:spacing w:line="240" w:lineRule="auto"/>
        <w:jc w:val="center"/>
        <w:rPr>
          <w:b/>
          <w:sz w:val="28"/>
          <w:szCs w:val="28"/>
        </w:rPr>
      </w:pPr>
    </w:p>
    <w:p w14:paraId="77E2F1A7" w14:textId="658F31A6" w:rsidR="009A562F" w:rsidRDefault="009A562F" w:rsidP="009A562F">
      <w:pPr>
        <w:spacing w:line="240" w:lineRule="auto"/>
        <w:jc w:val="center"/>
        <w:rPr>
          <w:b/>
          <w:sz w:val="28"/>
          <w:szCs w:val="28"/>
        </w:rPr>
      </w:pPr>
      <w:r w:rsidRPr="008B2BD8">
        <w:rPr>
          <w:b/>
          <w:sz w:val="28"/>
          <w:szCs w:val="28"/>
        </w:rPr>
        <w:t>Name</w:t>
      </w:r>
      <w:r>
        <w:rPr>
          <w:b/>
          <w:sz w:val="28"/>
          <w:szCs w:val="28"/>
        </w:rPr>
        <w:t xml:space="preserve"> </w:t>
      </w:r>
      <w:r w:rsidR="004B3496">
        <w:rPr>
          <w:b/>
          <w:sz w:val="28"/>
          <w:szCs w:val="28"/>
        </w:rPr>
        <w:t>_______</w:t>
      </w:r>
      <w:r w:rsidR="004C6AB3">
        <w:rPr>
          <w:b/>
          <w:sz w:val="28"/>
          <w:szCs w:val="28"/>
        </w:rPr>
        <w:t xml:space="preserve">Le Quient Lewis </w:t>
      </w:r>
      <w:r w:rsidR="004B3496" w:rsidRPr="008B2BD8">
        <w:rPr>
          <w:b/>
          <w:sz w:val="28"/>
          <w:szCs w:val="28"/>
        </w:rPr>
        <w:t>______</w:t>
      </w:r>
      <w:r w:rsidR="004B3496">
        <w:rPr>
          <w:b/>
          <w:sz w:val="28"/>
          <w:szCs w:val="28"/>
        </w:rPr>
        <w:t xml:space="preserve">               </w:t>
      </w:r>
      <w:r>
        <w:rPr>
          <w:b/>
          <w:sz w:val="28"/>
          <w:szCs w:val="28"/>
        </w:rPr>
        <w:t xml:space="preserve">     Lab Partner(s) ____</w:t>
      </w:r>
      <w:r w:rsidR="004C6AB3">
        <w:rPr>
          <w:b/>
          <w:sz w:val="28"/>
          <w:szCs w:val="28"/>
        </w:rPr>
        <w:t>N/A</w:t>
      </w:r>
      <w:r>
        <w:rPr>
          <w:b/>
          <w:sz w:val="28"/>
          <w:szCs w:val="28"/>
        </w:rPr>
        <w:t>_________</w:t>
      </w:r>
      <w:r w:rsidR="004B3496">
        <w:rPr>
          <w:b/>
          <w:sz w:val="28"/>
          <w:szCs w:val="28"/>
        </w:rPr>
        <w:t>___</w:t>
      </w:r>
      <w:r w:rsidRPr="008B2BD8">
        <w:rPr>
          <w:b/>
          <w:sz w:val="28"/>
          <w:szCs w:val="28"/>
        </w:rPr>
        <w:t>_</w:t>
      </w:r>
    </w:p>
    <w:p w14:paraId="1A283A34" w14:textId="77777777" w:rsidR="00B72884" w:rsidRDefault="00B72884" w:rsidP="00B72884">
      <w:pPr>
        <w:spacing w:line="240" w:lineRule="auto"/>
        <w:jc w:val="center"/>
      </w:pPr>
    </w:p>
    <w:p w14:paraId="144D9910" w14:textId="3AD20B5E" w:rsidR="00871E61" w:rsidRPr="00C66C0F" w:rsidRDefault="00B72884" w:rsidP="00C66C0F">
      <w:pPr>
        <w:spacing w:line="240" w:lineRule="auto"/>
        <w:rPr>
          <w:szCs w:val="24"/>
        </w:rPr>
      </w:pPr>
      <w:r w:rsidRPr="004528A6">
        <w:rPr>
          <w:b/>
          <w:szCs w:val="24"/>
        </w:rPr>
        <w:t>1. Introduction</w:t>
      </w:r>
      <w:r w:rsidRPr="004528A6">
        <w:rPr>
          <w:szCs w:val="24"/>
        </w:rPr>
        <w:t xml:space="preserve">: </w:t>
      </w:r>
      <w:r>
        <w:rPr>
          <w:szCs w:val="24"/>
        </w:rPr>
        <w:t xml:space="preserve">This lab provides </w:t>
      </w:r>
      <w:r w:rsidR="00296C36">
        <w:rPr>
          <w:szCs w:val="24"/>
        </w:rPr>
        <w:t xml:space="preserve">students with </w:t>
      </w:r>
      <w:r w:rsidR="00767269">
        <w:rPr>
          <w:szCs w:val="24"/>
        </w:rPr>
        <w:t>practice using single</w:t>
      </w:r>
      <w:r w:rsidR="001E01E8">
        <w:rPr>
          <w:szCs w:val="24"/>
        </w:rPr>
        <w:t>-precision</w:t>
      </w:r>
      <w:r w:rsidR="00767269">
        <w:rPr>
          <w:szCs w:val="24"/>
        </w:rPr>
        <w:t xml:space="preserve"> and double</w:t>
      </w:r>
      <w:r w:rsidR="001E01E8">
        <w:rPr>
          <w:szCs w:val="24"/>
        </w:rPr>
        <w:t>-precision</w:t>
      </w:r>
      <w:r w:rsidR="00767269">
        <w:rPr>
          <w:szCs w:val="24"/>
        </w:rPr>
        <w:t xml:space="preserve"> floating</w:t>
      </w:r>
      <w:r w:rsidR="00151D9F">
        <w:rPr>
          <w:szCs w:val="24"/>
        </w:rPr>
        <w:t>-</w:t>
      </w:r>
      <w:r w:rsidR="00767269">
        <w:rPr>
          <w:szCs w:val="24"/>
        </w:rPr>
        <w:t>point instructions in MIPS.</w:t>
      </w:r>
      <w:r w:rsidR="00082365">
        <w:rPr>
          <w:szCs w:val="24"/>
        </w:rPr>
        <w:t xml:space="preserve"> </w:t>
      </w:r>
      <w:r w:rsidR="00767269">
        <w:rPr>
          <w:szCs w:val="24"/>
        </w:rPr>
        <w:t xml:space="preserve"> Students will utilize basic arithmetic, branching, and comparison instructions to implement numerical algorithms.</w:t>
      </w:r>
    </w:p>
    <w:p w14:paraId="7A150777" w14:textId="368FBF51" w:rsidR="0017212A" w:rsidRDefault="007A706F" w:rsidP="001B5593">
      <w:r>
        <w:rPr>
          <w:b/>
        </w:rPr>
        <w:t>2. Background</w:t>
      </w:r>
    </w:p>
    <w:p w14:paraId="179F0698" w14:textId="77777777" w:rsidR="00A2688A" w:rsidRDefault="00FF2E6C" w:rsidP="001B5593">
      <w:r w:rsidRPr="00FF2E6C">
        <w:rPr>
          <w:b/>
        </w:rPr>
        <w:t>2.1 Overview of Floating</w:t>
      </w:r>
      <w:r w:rsidR="00151D9F">
        <w:rPr>
          <w:b/>
        </w:rPr>
        <w:t>-</w:t>
      </w:r>
      <w:r w:rsidRPr="00FF2E6C">
        <w:rPr>
          <w:b/>
        </w:rPr>
        <w:t>Point Operations</w:t>
      </w:r>
    </w:p>
    <w:p w14:paraId="22ECD074" w14:textId="05016E06" w:rsidR="0017212A" w:rsidRDefault="00A20B9E" w:rsidP="001B5593">
      <w:r>
        <w:t xml:space="preserve">Special hardware is required to implement arithmetic operations for </w:t>
      </w:r>
      <w:r w:rsidR="001671B4">
        <w:t>floating-point</w:t>
      </w:r>
      <w:r>
        <w:t xml:space="preserve"> values. </w:t>
      </w:r>
      <w:r w:rsidR="008A4E8F">
        <w:t xml:space="preserve"> </w:t>
      </w:r>
      <w:r w:rsidR="00114092">
        <w:t xml:space="preserve">This hardware is called a </w:t>
      </w:r>
      <w:r w:rsidR="00847E4C">
        <w:t>Floating-point</w:t>
      </w:r>
      <w:r w:rsidR="00114092">
        <w:t xml:space="preserve"> Unit (FPU)</w:t>
      </w:r>
      <w:r w:rsidR="00E74DD9">
        <w:t xml:space="preserve"> and is typically integrated into a processor</w:t>
      </w:r>
      <w:r w:rsidR="00114092">
        <w:t xml:space="preserve">. </w:t>
      </w:r>
      <w:r w:rsidR="008A4E8F">
        <w:t xml:space="preserve"> </w:t>
      </w:r>
      <w:r w:rsidR="00054016">
        <w:t xml:space="preserve">The </w:t>
      </w:r>
      <w:r w:rsidR="00D520E4">
        <w:t xml:space="preserve">MIPS </w:t>
      </w:r>
      <w:r w:rsidR="00054016">
        <w:t>processor integrates a</w:t>
      </w:r>
      <w:r w:rsidR="006B429D">
        <w:t>n</w:t>
      </w:r>
      <w:r w:rsidR="00054016">
        <w:t xml:space="preserve"> FPU and </w:t>
      </w:r>
      <w:r w:rsidR="00D520E4">
        <w:t>provides</w:t>
      </w:r>
      <w:r w:rsidR="008679EF">
        <w:t xml:space="preserve"> </w:t>
      </w:r>
      <w:r w:rsidR="002B0E3E">
        <w:t>specific</w:t>
      </w:r>
      <w:r w:rsidR="008679EF">
        <w:t xml:space="preserve"> instructions to </w:t>
      </w:r>
      <w:r w:rsidR="00747607">
        <w:t xml:space="preserve">utilize the hardware. </w:t>
      </w:r>
      <w:r w:rsidR="000D1785">
        <w:t xml:space="preserve"> </w:t>
      </w:r>
      <w:r w:rsidR="00F25352">
        <w:t xml:space="preserve">More specifically, the MIPS instruction set includes </w:t>
      </w:r>
      <w:r w:rsidR="00BA1FB3">
        <w:t xml:space="preserve">a variety </w:t>
      </w:r>
      <w:r w:rsidR="00EE4E5C">
        <w:t xml:space="preserve">of </w:t>
      </w:r>
      <w:r w:rsidR="00F25352">
        <w:t xml:space="preserve">instructions to </w:t>
      </w:r>
      <w:r w:rsidR="008679EF">
        <w:t>handle</w:t>
      </w:r>
      <w:r w:rsidR="00A11982">
        <w:t xml:space="preserve"> both</w:t>
      </w:r>
      <w:r w:rsidR="008679EF">
        <w:t xml:space="preserve"> </w:t>
      </w:r>
      <w:r w:rsidR="008679EF" w:rsidRPr="00422533">
        <w:rPr>
          <w:i/>
        </w:rPr>
        <w:t>single</w:t>
      </w:r>
      <w:r w:rsidR="00924C86">
        <w:rPr>
          <w:i/>
        </w:rPr>
        <w:t>-</w:t>
      </w:r>
      <w:r w:rsidR="004E5903" w:rsidRPr="00422533">
        <w:rPr>
          <w:i/>
        </w:rPr>
        <w:t>precision</w:t>
      </w:r>
      <w:r w:rsidR="008679EF">
        <w:t xml:space="preserve"> </w:t>
      </w:r>
      <w:r w:rsidR="004A28E4">
        <w:t xml:space="preserve">(32-bit) </w:t>
      </w:r>
      <w:r w:rsidR="008679EF">
        <w:t xml:space="preserve">and </w:t>
      </w:r>
      <w:r w:rsidR="008679EF" w:rsidRPr="00422533">
        <w:rPr>
          <w:i/>
        </w:rPr>
        <w:t>double</w:t>
      </w:r>
      <w:r w:rsidR="008909D3">
        <w:rPr>
          <w:i/>
        </w:rPr>
        <w:t>-</w:t>
      </w:r>
      <w:r w:rsidR="004E5903" w:rsidRPr="00422533">
        <w:rPr>
          <w:i/>
        </w:rPr>
        <w:t>precision</w:t>
      </w:r>
      <w:r w:rsidR="008679EF">
        <w:t xml:space="preserve"> </w:t>
      </w:r>
      <w:r w:rsidR="00384FD6">
        <w:t xml:space="preserve">(64-bit) </w:t>
      </w:r>
      <w:r w:rsidR="00847E4C">
        <w:t>floating-point</w:t>
      </w:r>
      <w:r w:rsidR="008679EF">
        <w:t xml:space="preserve"> operations. </w:t>
      </w:r>
      <w:r w:rsidR="000D1785">
        <w:t xml:space="preserve"> </w:t>
      </w:r>
      <w:r w:rsidR="007E5C2A">
        <w:t xml:space="preserve">Additionally, </w:t>
      </w:r>
      <w:r w:rsidR="00F0223E">
        <w:t>the MIPS instruction set contains specialized</w:t>
      </w:r>
      <w:r w:rsidR="008679EF">
        <w:t xml:space="preserve"> </w:t>
      </w:r>
      <w:r w:rsidR="00D72D3F">
        <w:t xml:space="preserve">load, </w:t>
      </w:r>
      <w:r w:rsidR="00F0223E">
        <w:t>store</w:t>
      </w:r>
      <w:r w:rsidR="00C953B8">
        <w:t>,</w:t>
      </w:r>
      <w:r w:rsidR="00F0223E">
        <w:t xml:space="preserve"> </w:t>
      </w:r>
      <w:r w:rsidR="0019382C">
        <w:t xml:space="preserve">and </w:t>
      </w:r>
      <w:r w:rsidR="008679EF">
        <w:t xml:space="preserve">comparison instructions </w:t>
      </w:r>
      <w:r w:rsidR="00F57488">
        <w:t xml:space="preserve">for </w:t>
      </w:r>
      <w:r w:rsidR="00366F30">
        <w:t xml:space="preserve">single-precision and double-precision </w:t>
      </w:r>
      <w:r w:rsidR="00847E4C">
        <w:t>floating-point</w:t>
      </w:r>
      <w:r w:rsidR="00737487">
        <w:t xml:space="preserve"> </w:t>
      </w:r>
      <w:r w:rsidR="008679EF">
        <w:t>values.</w:t>
      </w:r>
    </w:p>
    <w:p w14:paraId="0AA70D77" w14:textId="054E9565" w:rsidR="008679EF" w:rsidRDefault="00C67B75" w:rsidP="001B5593">
      <w:r>
        <w:t>Many years ago</w:t>
      </w:r>
      <w:r w:rsidR="008679EF">
        <w:t xml:space="preserve">, </w:t>
      </w:r>
      <w:r w:rsidR="00F657B8">
        <w:t>FPUs were</w:t>
      </w:r>
      <w:r w:rsidR="00967F8D">
        <w:t xml:space="preserve"> i</w:t>
      </w:r>
      <w:r w:rsidR="00E37950">
        <w:t xml:space="preserve">mplemented </w:t>
      </w:r>
      <w:r w:rsidR="00B96AAC">
        <w:t>on</w:t>
      </w:r>
      <w:r w:rsidR="00E37950">
        <w:t xml:space="preserve"> a separat</w:t>
      </w:r>
      <w:r w:rsidR="00D22CB3">
        <w:t xml:space="preserve">e </w:t>
      </w:r>
      <w:r w:rsidR="004C1EA9">
        <w:t xml:space="preserve">coprocessor </w:t>
      </w:r>
      <w:r w:rsidR="00D22CB3">
        <w:t xml:space="preserve">chip </w:t>
      </w:r>
      <w:r w:rsidR="0047242E">
        <w:t xml:space="preserve">that could be purchased </w:t>
      </w:r>
      <w:r w:rsidR="00B850D1">
        <w:t>with your CPU to pro</w:t>
      </w:r>
      <w:r w:rsidR="00820BAA">
        <w:t xml:space="preserve">vide additional functionality. </w:t>
      </w:r>
      <w:r w:rsidR="00B16586">
        <w:t xml:space="preserve"> </w:t>
      </w:r>
      <w:r w:rsidR="00B32293">
        <w:t xml:space="preserve">Within the MIPS ISA, the FPU coprocessor was referred to as </w:t>
      </w:r>
      <w:r w:rsidR="00B32293" w:rsidRPr="00B32293">
        <w:rPr>
          <w:i/>
        </w:rPr>
        <w:t>coprocessor1</w:t>
      </w:r>
      <w:r w:rsidR="00B32293">
        <w:t>.</w:t>
      </w:r>
      <w:r w:rsidR="00F64330">
        <w:t xml:space="preserve"> </w:t>
      </w:r>
      <w:r w:rsidR="00E201AF">
        <w:t xml:space="preserve"> </w:t>
      </w:r>
      <w:r w:rsidR="00553526">
        <w:t>Even though</w:t>
      </w:r>
      <w:r w:rsidR="008679EF">
        <w:t xml:space="preserve"> </w:t>
      </w:r>
      <w:r w:rsidR="00847E4C">
        <w:t>floating-point</w:t>
      </w:r>
      <w:r w:rsidR="008679EF">
        <w:t xml:space="preserve"> operations are now </w:t>
      </w:r>
      <w:r w:rsidR="00553526">
        <w:t>integrated directly into</w:t>
      </w:r>
      <w:r w:rsidR="008679EF">
        <w:t xml:space="preserve"> the CPU, all </w:t>
      </w:r>
      <w:r w:rsidR="00847E4C">
        <w:t>floating-point</w:t>
      </w:r>
      <w:r w:rsidR="005D2D71">
        <w:t xml:space="preserve"> </w:t>
      </w:r>
      <w:r w:rsidR="008679EF">
        <w:t>operation</w:t>
      </w:r>
      <w:r w:rsidR="00DB21A8">
        <w:t>s</w:t>
      </w:r>
      <w:r w:rsidR="008679EF">
        <w:t xml:space="preserve"> retain the </w:t>
      </w:r>
      <w:r w:rsidR="008679EF" w:rsidRPr="003444ED">
        <w:rPr>
          <w:i/>
        </w:rPr>
        <w:t>coprocessor</w:t>
      </w:r>
      <w:r w:rsidR="00B429F4" w:rsidRPr="003444ED">
        <w:rPr>
          <w:i/>
        </w:rPr>
        <w:t>1</w:t>
      </w:r>
      <w:r w:rsidR="008679EF">
        <w:t xml:space="preserve"> nomenclature and will have the literal </w:t>
      </w:r>
      <w:r w:rsidR="00CF69FD">
        <w:t>“</w:t>
      </w:r>
      <w:r w:rsidR="00CA143E">
        <w:rPr>
          <w:i/>
        </w:rPr>
        <w:t>c1</w:t>
      </w:r>
      <w:r w:rsidR="00CF69FD">
        <w:rPr>
          <w:i/>
        </w:rPr>
        <w:t>”</w:t>
      </w:r>
      <w:r w:rsidR="008679EF">
        <w:t xml:space="preserve"> somewhere in the instruction.</w:t>
      </w:r>
      <w:r w:rsidR="00EA16E3">
        <w:t xml:space="preserve"> </w:t>
      </w:r>
      <w:r w:rsidR="0044102A">
        <w:t xml:space="preserve"> </w:t>
      </w:r>
      <w:r w:rsidR="00B4017E">
        <w:t xml:space="preserve">The MIPS hardware </w:t>
      </w:r>
      <w:r w:rsidR="00DE202E">
        <w:t>provide</w:t>
      </w:r>
      <w:r w:rsidR="0044102A">
        <w:t>s</w:t>
      </w:r>
      <w:r w:rsidR="00B4017E">
        <w:t xml:space="preserve"> s</w:t>
      </w:r>
      <w:r w:rsidR="00EA16E3">
        <w:t xml:space="preserve">pecial </w:t>
      </w:r>
      <w:r w:rsidR="00847E4C">
        <w:t>floating-point</w:t>
      </w:r>
      <w:r w:rsidR="00EA16E3">
        <w:t xml:space="preserve"> registers to perform </w:t>
      </w:r>
      <w:r w:rsidR="00847E4C">
        <w:t>floating-point</w:t>
      </w:r>
      <w:r w:rsidR="00444861">
        <w:t xml:space="preserve"> </w:t>
      </w:r>
      <w:r w:rsidR="00EA16E3">
        <w:t>calculations</w:t>
      </w:r>
      <w:r w:rsidR="00821BEF">
        <w:t xml:space="preserve">.  These </w:t>
      </w:r>
      <w:r w:rsidR="00847E4C">
        <w:t>floating-point</w:t>
      </w:r>
      <w:r w:rsidR="00821BEF">
        <w:t xml:space="preserve"> registers are name</w:t>
      </w:r>
      <w:r w:rsidR="00EA16E3">
        <w:t xml:space="preserve"> </w:t>
      </w:r>
      <w:r w:rsidR="00821BEF" w:rsidRPr="000F6F08">
        <w:rPr>
          <w:b/>
        </w:rPr>
        <w:t>$f0</w:t>
      </w:r>
      <w:r w:rsidR="00821BEF">
        <w:t xml:space="preserve"> - </w:t>
      </w:r>
      <w:r w:rsidR="00821BEF" w:rsidRPr="000F6F08">
        <w:rPr>
          <w:b/>
        </w:rPr>
        <w:t>$f31</w:t>
      </w:r>
      <w:r w:rsidR="00EA16E3">
        <w:t xml:space="preserve">. </w:t>
      </w:r>
      <w:r w:rsidR="00322FC8">
        <w:t xml:space="preserve"> </w:t>
      </w:r>
      <w:r w:rsidR="00EA16E3">
        <w:t xml:space="preserve">While data can be moved between the </w:t>
      </w:r>
      <w:r w:rsidR="00847E4C">
        <w:t>floating-point</w:t>
      </w:r>
      <w:r w:rsidR="00455DF6">
        <w:t xml:space="preserve"> </w:t>
      </w:r>
      <w:r w:rsidR="00EA16E3">
        <w:t xml:space="preserve">and integer registers, they are not interchangeable inside an instruction. </w:t>
      </w:r>
      <w:r w:rsidR="000B62CC">
        <w:t xml:space="preserve"> </w:t>
      </w:r>
      <w:r w:rsidR="00EA16E3" w:rsidRPr="00B258DC">
        <w:rPr>
          <w:b/>
        </w:rPr>
        <w:t xml:space="preserve">A </w:t>
      </w:r>
      <w:r w:rsidR="00847E4C" w:rsidRPr="00B258DC">
        <w:rPr>
          <w:b/>
        </w:rPr>
        <w:t>floating-point</w:t>
      </w:r>
      <w:r w:rsidR="00CF6860" w:rsidRPr="00B258DC">
        <w:rPr>
          <w:b/>
        </w:rPr>
        <w:t xml:space="preserve"> </w:t>
      </w:r>
      <w:r w:rsidR="00EA16E3" w:rsidRPr="00B258DC">
        <w:rPr>
          <w:b/>
        </w:rPr>
        <w:t xml:space="preserve">instruction will only </w:t>
      </w:r>
      <w:r w:rsidR="00343AB8" w:rsidRPr="00B258DC">
        <w:rPr>
          <w:b/>
        </w:rPr>
        <w:t>operate</w:t>
      </w:r>
      <w:r w:rsidR="00EA16E3" w:rsidRPr="00B258DC">
        <w:rPr>
          <w:b/>
        </w:rPr>
        <w:t xml:space="preserve"> on </w:t>
      </w:r>
      <w:r w:rsidR="00847E4C" w:rsidRPr="00B258DC">
        <w:rPr>
          <w:b/>
        </w:rPr>
        <w:t>floating-point</w:t>
      </w:r>
      <w:r w:rsidR="005F6804" w:rsidRPr="00B258DC">
        <w:rPr>
          <w:b/>
        </w:rPr>
        <w:t xml:space="preserve"> </w:t>
      </w:r>
      <w:r w:rsidR="00EA16E3" w:rsidRPr="00B258DC">
        <w:rPr>
          <w:b/>
        </w:rPr>
        <w:t>registers.</w:t>
      </w:r>
    </w:p>
    <w:p w14:paraId="7F778FF5" w14:textId="1491879D" w:rsidR="00835BA8" w:rsidRPr="00835BA8" w:rsidRDefault="00835BA8" w:rsidP="001B5593">
      <w:pPr>
        <w:rPr>
          <w:b/>
        </w:rPr>
      </w:pPr>
      <w:r w:rsidRPr="00835BA8">
        <w:rPr>
          <w:b/>
        </w:rPr>
        <w:t xml:space="preserve">2.2 Arithmetic </w:t>
      </w:r>
      <w:r w:rsidR="00A76CB3">
        <w:rPr>
          <w:b/>
        </w:rPr>
        <w:t>and Load/</w:t>
      </w:r>
      <w:r w:rsidR="00715B65">
        <w:rPr>
          <w:b/>
        </w:rPr>
        <w:t>Store</w:t>
      </w:r>
      <w:r w:rsidR="00A76CB3">
        <w:rPr>
          <w:b/>
        </w:rPr>
        <w:t xml:space="preserve"> </w:t>
      </w:r>
      <w:r w:rsidRPr="00835BA8">
        <w:rPr>
          <w:b/>
        </w:rPr>
        <w:t>Floating</w:t>
      </w:r>
      <w:r w:rsidR="000102D7">
        <w:rPr>
          <w:b/>
        </w:rPr>
        <w:t>-Point</w:t>
      </w:r>
      <w:r w:rsidRPr="00835BA8">
        <w:rPr>
          <w:b/>
        </w:rPr>
        <w:t xml:space="preserve"> Instructions</w:t>
      </w:r>
    </w:p>
    <w:p w14:paraId="5D670AF3" w14:textId="3ED99118" w:rsidR="00056AAD" w:rsidRDefault="000C6284" w:rsidP="001B5593">
      <w:r>
        <w:t>Table 1 below show</w:t>
      </w:r>
      <w:r w:rsidR="008A79B0">
        <w:t>s</w:t>
      </w:r>
      <w:r>
        <w:t xml:space="preserve"> several arithmetic instructions with their single and </w:t>
      </w:r>
      <w:r w:rsidR="00AE2C8D">
        <w:t>double-precision</w:t>
      </w:r>
      <w:r w:rsidR="00B0311F">
        <w:t xml:space="preserve"> </w:t>
      </w:r>
      <w:r>
        <w:t>floating</w:t>
      </w:r>
      <w:r w:rsidR="00E2271E">
        <w:t>-point</w:t>
      </w:r>
      <w:r>
        <w:t xml:space="preserve"> analogs. </w:t>
      </w:r>
      <w:r w:rsidR="00A2143F">
        <w:t xml:space="preserve"> </w:t>
      </w:r>
      <w:r>
        <w:t xml:space="preserve">The add, subtract, multiply, and divide operations are </w:t>
      </w:r>
      <w:r w:rsidR="00ED0405">
        <w:t>simple</w:t>
      </w:r>
      <w:r>
        <w:t xml:space="preserve"> extensions of existing instructions. </w:t>
      </w:r>
      <w:r w:rsidR="00A2143F">
        <w:t xml:space="preserve"> </w:t>
      </w:r>
      <w:r w:rsidR="00865729">
        <w:t xml:space="preserve">Note that the “.s” denotes a </w:t>
      </w:r>
      <w:r w:rsidR="00AE2C8D">
        <w:t>single-precision</w:t>
      </w:r>
      <w:r w:rsidR="00865729">
        <w:t xml:space="preserve"> instruction while the “.d” denotes a </w:t>
      </w:r>
      <w:r w:rsidR="00AE2C8D">
        <w:t>double-precision</w:t>
      </w:r>
      <w:r w:rsidR="00865729">
        <w:t xml:space="preserve"> instruction. </w:t>
      </w:r>
      <w:r w:rsidR="00A2143F">
        <w:t xml:space="preserve"> </w:t>
      </w:r>
      <w:r>
        <w:t xml:space="preserve">Special move instructions </w:t>
      </w:r>
      <w:r w:rsidR="00056AAD">
        <w:t>(</w:t>
      </w:r>
      <w:r w:rsidR="00056AAD" w:rsidRPr="00056AAD">
        <w:rPr>
          <w:i/>
        </w:rPr>
        <w:t>mfc1</w:t>
      </w:r>
      <w:r w:rsidR="00056AAD">
        <w:t xml:space="preserve"> and </w:t>
      </w:r>
      <w:r w:rsidR="00056AAD" w:rsidRPr="00056AAD">
        <w:rPr>
          <w:i/>
        </w:rPr>
        <w:t>mtc1</w:t>
      </w:r>
      <w:r w:rsidR="00056AAD">
        <w:t xml:space="preserve">) </w:t>
      </w:r>
      <w:r>
        <w:t xml:space="preserve">are required to move values between </w:t>
      </w:r>
      <w:r>
        <w:rPr>
          <w:i/>
        </w:rPr>
        <w:t>traditional</w:t>
      </w:r>
      <w:r>
        <w:t xml:space="preserve"> registers (</w:t>
      </w:r>
      <w:r w:rsidR="00101A74">
        <w:t xml:space="preserve">e.g. </w:t>
      </w:r>
      <w:r w:rsidRPr="00B94C23">
        <w:rPr>
          <w:b/>
        </w:rPr>
        <w:t>$s0</w:t>
      </w:r>
      <w:r>
        <w:t>-</w:t>
      </w:r>
      <w:r w:rsidRPr="00B94C23">
        <w:rPr>
          <w:b/>
        </w:rPr>
        <w:t>$s8</w:t>
      </w:r>
      <w:r>
        <w:t>) and floating</w:t>
      </w:r>
      <w:r w:rsidR="00FA36EC">
        <w:t>-</w:t>
      </w:r>
      <w:r>
        <w:t>point registers (</w:t>
      </w:r>
      <w:r w:rsidRPr="00E16996">
        <w:rPr>
          <w:b/>
        </w:rPr>
        <w:t>$f0</w:t>
      </w:r>
      <w:r>
        <w:t>-</w:t>
      </w:r>
      <w:r w:rsidRPr="00E16996">
        <w:rPr>
          <w:b/>
        </w:rPr>
        <w:t>$</w:t>
      </w:r>
      <w:r w:rsidR="00056AAD" w:rsidRPr="00E16996">
        <w:rPr>
          <w:b/>
        </w:rPr>
        <w:t>f</w:t>
      </w:r>
      <w:r w:rsidRPr="00E16996">
        <w:rPr>
          <w:b/>
        </w:rPr>
        <w:t>31</w:t>
      </w:r>
      <w:r>
        <w:t>).</w:t>
      </w:r>
    </w:p>
    <w:p w14:paraId="7D943173" w14:textId="77777777" w:rsidR="00FF1E09" w:rsidRDefault="00FF1E09" w:rsidP="001B5593"/>
    <w:p w14:paraId="4145AEED" w14:textId="7B97A8C2" w:rsidR="003D6D78" w:rsidRPr="003D6D78" w:rsidRDefault="003D6D78" w:rsidP="001671B4">
      <w:pPr>
        <w:pStyle w:val="Caption"/>
        <w:keepNext/>
        <w:jc w:val="center"/>
        <w:outlineLvl w:val="0"/>
        <w:rPr>
          <w:color w:val="000000" w:themeColor="text1"/>
        </w:rPr>
      </w:pPr>
      <w:r w:rsidRPr="003D6D78">
        <w:rPr>
          <w:color w:val="000000" w:themeColor="text1"/>
        </w:rPr>
        <w:t xml:space="preserve">Table </w:t>
      </w:r>
      <w:r w:rsidRPr="003D6D78">
        <w:rPr>
          <w:color w:val="000000" w:themeColor="text1"/>
        </w:rPr>
        <w:fldChar w:fldCharType="begin"/>
      </w:r>
      <w:r w:rsidRPr="003D6D78">
        <w:rPr>
          <w:color w:val="000000" w:themeColor="text1"/>
        </w:rPr>
        <w:instrText xml:space="preserve"> SEQ Table \* ARABIC </w:instrText>
      </w:r>
      <w:r w:rsidRPr="003D6D78">
        <w:rPr>
          <w:color w:val="000000" w:themeColor="text1"/>
        </w:rPr>
        <w:fldChar w:fldCharType="separate"/>
      </w:r>
      <w:r w:rsidRPr="003D6D78">
        <w:rPr>
          <w:noProof/>
          <w:color w:val="000000" w:themeColor="text1"/>
        </w:rPr>
        <w:t>1</w:t>
      </w:r>
      <w:r w:rsidRPr="003D6D78">
        <w:rPr>
          <w:color w:val="000000" w:themeColor="text1"/>
        </w:rPr>
        <w:fldChar w:fldCharType="end"/>
      </w:r>
      <w:r w:rsidRPr="003D6D78">
        <w:rPr>
          <w:color w:val="000000" w:themeColor="text1"/>
        </w:rPr>
        <w:t xml:space="preserve">: Comparison of integer, </w:t>
      </w:r>
      <w:r w:rsidR="00AE2C8D">
        <w:rPr>
          <w:color w:val="000000" w:themeColor="text1"/>
        </w:rPr>
        <w:t>single-precision</w:t>
      </w:r>
      <w:r w:rsidRPr="003D6D78">
        <w:rPr>
          <w:color w:val="000000" w:themeColor="text1"/>
        </w:rPr>
        <w:t xml:space="preserve">, and </w:t>
      </w:r>
      <w:r w:rsidR="00AE2C8D">
        <w:rPr>
          <w:color w:val="000000" w:themeColor="text1"/>
        </w:rPr>
        <w:t>double-precision</w:t>
      </w:r>
      <w:r w:rsidRPr="003D6D78">
        <w:rPr>
          <w:color w:val="000000" w:themeColor="text1"/>
        </w:rPr>
        <w:t xml:space="preserve"> floating</w:t>
      </w:r>
      <w:r w:rsidR="00052D91">
        <w:rPr>
          <w:color w:val="000000" w:themeColor="text1"/>
        </w:rPr>
        <w:t>-</w:t>
      </w:r>
      <w:r w:rsidRPr="003D6D78">
        <w:rPr>
          <w:color w:val="000000" w:themeColor="text1"/>
        </w:rPr>
        <w:t xml:space="preserve">point </w:t>
      </w:r>
      <w:r w:rsidR="00EC5666">
        <w:rPr>
          <w:color w:val="000000" w:themeColor="text1"/>
        </w:rPr>
        <w:t xml:space="preserve">arithmetic </w:t>
      </w:r>
      <w:r w:rsidRPr="003D6D78">
        <w:rPr>
          <w:color w:val="000000" w:themeColor="text1"/>
        </w:rPr>
        <w:t>operations</w:t>
      </w:r>
    </w:p>
    <w:tbl>
      <w:tblPr>
        <w:tblStyle w:val="TableGrid"/>
        <w:tblW w:w="0" w:type="auto"/>
        <w:tblInd w:w="108" w:type="dxa"/>
        <w:tblLook w:val="04A0" w:firstRow="1" w:lastRow="0" w:firstColumn="1" w:lastColumn="0" w:noHBand="0" w:noVBand="1"/>
      </w:tblPr>
      <w:tblGrid>
        <w:gridCol w:w="3564"/>
        <w:gridCol w:w="3672"/>
        <w:gridCol w:w="3564"/>
      </w:tblGrid>
      <w:tr w:rsidR="00FB7A2C" w14:paraId="6E10474D" w14:textId="77777777" w:rsidTr="007149CA">
        <w:trPr>
          <w:trHeight w:val="360"/>
        </w:trPr>
        <w:tc>
          <w:tcPr>
            <w:tcW w:w="3564" w:type="dxa"/>
            <w:tcBorders>
              <w:top w:val="single" w:sz="8" w:space="0" w:color="auto"/>
              <w:left w:val="single" w:sz="8" w:space="0" w:color="auto"/>
              <w:bottom w:val="single" w:sz="12" w:space="0" w:color="auto"/>
              <w:right w:val="single" w:sz="12" w:space="0" w:color="auto"/>
            </w:tcBorders>
            <w:vAlign w:val="center"/>
          </w:tcPr>
          <w:p w14:paraId="0B854DEF" w14:textId="54771D10" w:rsidR="00056AAD" w:rsidRPr="00774895" w:rsidRDefault="00056AAD" w:rsidP="00C90350">
            <w:pPr>
              <w:spacing w:after="0"/>
              <w:jc w:val="center"/>
              <w:rPr>
                <w:b/>
              </w:rPr>
            </w:pPr>
            <w:r w:rsidRPr="00774895">
              <w:rPr>
                <w:b/>
              </w:rPr>
              <w:t>Integer Operation</w:t>
            </w:r>
            <w:r w:rsidR="00124582">
              <w:rPr>
                <w:b/>
              </w:rPr>
              <w:t>s</w:t>
            </w:r>
          </w:p>
        </w:tc>
        <w:tc>
          <w:tcPr>
            <w:tcW w:w="3672" w:type="dxa"/>
            <w:tcBorders>
              <w:top w:val="single" w:sz="8" w:space="0" w:color="auto"/>
              <w:left w:val="single" w:sz="12" w:space="0" w:color="auto"/>
              <w:bottom w:val="single" w:sz="12" w:space="0" w:color="auto"/>
              <w:right w:val="single" w:sz="12" w:space="0" w:color="auto"/>
            </w:tcBorders>
            <w:vAlign w:val="center"/>
          </w:tcPr>
          <w:p w14:paraId="140B858C" w14:textId="1B200D3F" w:rsidR="00056AAD" w:rsidRPr="00774895" w:rsidRDefault="00AE2C8D" w:rsidP="00D32D9A">
            <w:pPr>
              <w:spacing w:after="0"/>
              <w:jc w:val="center"/>
              <w:rPr>
                <w:b/>
              </w:rPr>
            </w:pPr>
            <w:r>
              <w:rPr>
                <w:b/>
              </w:rPr>
              <w:t>Single-precision</w:t>
            </w:r>
            <w:r w:rsidR="00BA63D6">
              <w:rPr>
                <w:b/>
              </w:rPr>
              <w:t xml:space="preserve"> </w:t>
            </w:r>
            <w:r w:rsidR="00056AAD" w:rsidRPr="00774895">
              <w:rPr>
                <w:b/>
              </w:rPr>
              <w:t>Floating</w:t>
            </w:r>
            <w:r w:rsidR="00D32D9A">
              <w:rPr>
                <w:b/>
              </w:rPr>
              <w:t>-</w:t>
            </w:r>
            <w:r w:rsidR="00056AAD" w:rsidRPr="00774895">
              <w:rPr>
                <w:b/>
              </w:rPr>
              <w:t>Point</w:t>
            </w:r>
            <w:r w:rsidR="00B459F4">
              <w:rPr>
                <w:b/>
              </w:rPr>
              <w:t xml:space="preserve"> Ops</w:t>
            </w:r>
          </w:p>
        </w:tc>
        <w:tc>
          <w:tcPr>
            <w:tcW w:w="3564" w:type="dxa"/>
            <w:tcBorders>
              <w:top w:val="single" w:sz="8" w:space="0" w:color="auto"/>
              <w:left w:val="single" w:sz="12" w:space="0" w:color="auto"/>
              <w:bottom w:val="single" w:sz="12" w:space="0" w:color="auto"/>
              <w:right w:val="single" w:sz="8" w:space="0" w:color="auto"/>
            </w:tcBorders>
            <w:vAlign w:val="center"/>
          </w:tcPr>
          <w:p w14:paraId="190EF66C" w14:textId="0EA9D43E" w:rsidR="00056AAD" w:rsidRPr="00774895" w:rsidRDefault="00AE2C8D" w:rsidP="004C24E2">
            <w:pPr>
              <w:spacing w:after="0"/>
              <w:jc w:val="center"/>
              <w:rPr>
                <w:b/>
              </w:rPr>
            </w:pPr>
            <w:r>
              <w:rPr>
                <w:b/>
              </w:rPr>
              <w:t>Double-precision</w:t>
            </w:r>
            <w:r w:rsidR="00BA63D6">
              <w:rPr>
                <w:b/>
              </w:rPr>
              <w:t xml:space="preserve"> </w:t>
            </w:r>
            <w:r w:rsidR="00056AAD" w:rsidRPr="00774895">
              <w:rPr>
                <w:b/>
              </w:rPr>
              <w:t>Floating</w:t>
            </w:r>
            <w:r w:rsidR="004C24E2">
              <w:rPr>
                <w:b/>
              </w:rPr>
              <w:t>-</w:t>
            </w:r>
            <w:r w:rsidR="00056AAD" w:rsidRPr="00774895">
              <w:rPr>
                <w:b/>
              </w:rPr>
              <w:t>Point</w:t>
            </w:r>
            <w:r w:rsidR="00B459F4">
              <w:rPr>
                <w:b/>
              </w:rPr>
              <w:t xml:space="preserve"> Ops</w:t>
            </w:r>
          </w:p>
        </w:tc>
      </w:tr>
      <w:tr w:rsidR="00FB7A2C" w14:paraId="2B394514" w14:textId="77777777" w:rsidTr="007149CA">
        <w:trPr>
          <w:trHeight w:val="360"/>
        </w:trPr>
        <w:tc>
          <w:tcPr>
            <w:tcW w:w="3564" w:type="dxa"/>
            <w:tcBorders>
              <w:top w:val="single" w:sz="12" w:space="0" w:color="auto"/>
              <w:right w:val="single" w:sz="12" w:space="0" w:color="auto"/>
            </w:tcBorders>
            <w:vAlign w:val="center"/>
          </w:tcPr>
          <w:p w14:paraId="018C4C6A" w14:textId="720586A5" w:rsidR="002A24F7" w:rsidRDefault="00835BA8" w:rsidP="00C90350">
            <w:pPr>
              <w:spacing w:after="0"/>
              <w:jc w:val="center"/>
            </w:pPr>
            <w:r>
              <w:t>add</w:t>
            </w:r>
          </w:p>
        </w:tc>
        <w:tc>
          <w:tcPr>
            <w:tcW w:w="3672" w:type="dxa"/>
            <w:tcBorders>
              <w:top w:val="single" w:sz="12" w:space="0" w:color="auto"/>
              <w:left w:val="single" w:sz="12" w:space="0" w:color="auto"/>
              <w:right w:val="single" w:sz="12" w:space="0" w:color="auto"/>
            </w:tcBorders>
            <w:vAlign w:val="center"/>
          </w:tcPr>
          <w:p w14:paraId="7E5C204C" w14:textId="22A23B8F" w:rsidR="002A24F7" w:rsidRDefault="002A24F7" w:rsidP="00C90350">
            <w:pPr>
              <w:spacing w:after="0"/>
              <w:jc w:val="center"/>
            </w:pPr>
            <w:r>
              <w:t>add.s</w:t>
            </w:r>
          </w:p>
        </w:tc>
        <w:tc>
          <w:tcPr>
            <w:tcW w:w="3564" w:type="dxa"/>
            <w:tcBorders>
              <w:top w:val="single" w:sz="12" w:space="0" w:color="auto"/>
              <w:left w:val="single" w:sz="12" w:space="0" w:color="auto"/>
            </w:tcBorders>
            <w:vAlign w:val="center"/>
          </w:tcPr>
          <w:p w14:paraId="2F5000BE" w14:textId="7DB99A9B" w:rsidR="002A24F7" w:rsidRDefault="002A24F7" w:rsidP="00C90350">
            <w:pPr>
              <w:spacing w:after="0"/>
              <w:jc w:val="center"/>
            </w:pPr>
            <w:r>
              <w:t>add.d</w:t>
            </w:r>
          </w:p>
        </w:tc>
      </w:tr>
      <w:tr w:rsidR="007149CA" w14:paraId="38FD143B" w14:textId="77777777" w:rsidTr="007149CA">
        <w:trPr>
          <w:trHeight w:val="360"/>
        </w:trPr>
        <w:tc>
          <w:tcPr>
            <w:tcW w:w="3564" w:type="dxa"/>
            <w:tcBorders>
              <w:right w:val="single" w:sz="12" w:space="0" w:color="auto"/>
            </w:tcBorders>
            <w:vAlign w:val="center"/>
          </w:tcPr>
          <w:p w14:paraId="4F1BD1C1" w14:textId="245C93FD" w:rsidR="002A24F7" w:rsidRDefault="00835BA8" w:rsidP="00C90350">
            <w:pPr>
              <w:spacing w:after="0"/>
              <w:jc w:val="center"/>
            </w:pPr>
            <w:r>
              <w:t>s</w:t>
            </w:r>
            <w:r w:rsidR="002A24F7">
              <w:t>ub</w:t>
            </w:r>
          </w:p>
        </w:tc>
        <w:tc>
          <w:tcPr>
            <w:tcW w:w="3672" w:type="dxa"/>
            <w:tcBorders>
              <w:left w:val="single" w:sz="12" w:space="0" w:color="auto"/>
              <w:right w:val="single" w:sz="12" w:space="0" w:color="auto"/>
            </w:tcBorders>
            <w:vAlign w:val="center"/>
          </w:tcPr>
          <w:p w14:paraId="794AA982" w14:textId="794FA331" w:rsidR="002A24F7" w:rsidRDefault="002A24F7" w:rsidP="00C90350">
            <w:pPr>
              <w:spacing w:after="0"/>
              <w:jc w:val="center"/>
            </w:pPr>
            <w:r>
              <w:t>sub.s</w:t>
            </w:r>
          </w:p>
        </w:tc>
        <w:tc>
          <w:tcPr>
            <w:tcW w:w="3564" w:type="dxa"/>
            <w:tcBorders>
              <w:left w:val="single" w:sz="12" w:space="0" w:color="auto"/>
            </w:tcBorders>
            <w:vAlign w:val="center"/>
          </w:tcPr>
          <w:p w14:paraId="4055DC9C" w14:textId="79858407" w:rsidR="002A24F7" w:rsidRDefault="002A24F7" w:rsidP="00C90350">
            <w:pPr>
              <w:spacing w:after="0"/>
              <w:jc w:val="center"/>
            </w:pPr>
            <w:r>
              <w:t>sub.d</w:t>
            </w:r>
          </w:p>
        </w:tc>
      </w:tr>
      <w:tr w:rsidR="007149CA" w14:paraId="0A122E9E" w14:textId="77777777" w:rsidTr="007149CA">
        <w:trPr>
          <w:trHeight w:val="360"/>
        </w:trPr>
        <w:tc>
          <w:tcPr>
            <w:tcW w:w="3564" w:type="dxa"/>
            <w:tcBorders>
              <w:right w:val="single" w:sz="12" w:space="0" w:color="auto"/>
            </w:tcBorders>
            <w:vAlign w:val="center"/>
          </w:tcPr>
          <w:p w14:paraId="5FFDE0D1" w14:textId="13FA2502" w:rsidR="002A24F7" w:rsidRDefault="00835BA8" w:rsidP="00C90350">
            <w:pPr>
              <w:spacing w:after="0"/>
              <w:jc w:val="center"/>
            </w:pPr>
            <w:r>
              <w:t>m</w:t>
            </w:r>
            <w:r w:rsidR="002A24F7">
              <w:t>ul</w:t>
            </w:r>
          </w:p>
        </w:tc>
        <w:tc>
          <w:tcPr>
            <w:tcW w:w="3672" w:type="dxa"/>
            <w:tcBorders>
              <w:left w:val="single" w:sz="12" w:space="0" w:color="auto"/>
              <w:right w:val="single" w:sz="12" w:space="0" w:color="auto"/>
            </w:tcBorders>
            <w:vAlign w:val="center"/>
          </w:tcPr>
          <w:p w14:paraId="29A69369" w14:textId="362C7755" w:rsidR="002A24F7" w:rsidRDefault="002A24F7" w:rsidP="00C90350">
            <w:pPr>
              <w:spacing w:after="0"/>
              <w:jc w:val="center"/>
            </w:pPr>
            <w:r>
              <w:t>mul.s</w:t>
            </w:r>
          </w:p>
        </w:tc>
        <w:tc>
          <w:tcPr>
            <w:tcW w:w="3564" w:type="dxa"/>
            <w:tcBorders>
              <w:left w:val="single" w:sz="12" w:space="0" w:color="auto"/>
            </w:tcBorders>
            <w:vAlign w:val="center"/>
          </w:tcPr>
          <w:p w14:paraId="7671E2AE" w14:textId="79A2BBC1" w:rsidR="002A24F7" w:rsidRDefault="002A24F7" w:rsidP="00C90350">
            <w:pPr>
              <w:spacing w:after="0"/>
              <w:jc w:val="center"/>
            </w:pPr>
            <w:r>
              <w:t>mul.d</w:t>
            </w:r>
          </w:p>
        </w:tc>
      </w:tr>
      <w:tr w:rsidR="007149CA" w14:paraId="69108E16" w14:textId="77777777" w:rsidTr="007149CA">
        <w:trPr>
          <w:trHeight w:val="360"/>
        </w:trPr>
        <w:tc>
          <w:tcPr>
            <w:tcW w:w="3564" w:type="dxa"/>
            <w:tcBorders>
              <w:right w:val="single" w:sz="12" w:space="0" w:color="auto"/>
            </w:tcBorders>
            <w:vAlign w:val="center"/>
          </w:tcPr>
          <w:p w14:paraId="76930B2F" w14:textId="559C7D04" w:rsidR="002A24F7" w:rsidRDefault="00835BA8" w:rsidP="00C90350">
            <w:pPr>
              <w:spacing w:after="0"/>
              <w:jc w:val="center"/>
            </w:pPr>
            <w:r>
              <w:t>d</w:t>
            </w:r>
            <w:r w:rsidR="002A24F7">
              <w:t>iv</w:t>
            </w:r>
          </w:p>
        </w:tc>
        <w:tc>
          <w:tcPr>
            <w:tcW w:w="3672" w:type="dxa"/>
            <w:tcBorders>
              <w:left w:val="single" w:sz="12" w:space="0" w:color="auto"/>
              <w:right w:val="single" w:sz="12" w:space="0" w:color="auto"/>
            </w:tcBorders>
            <w:vAlign w:val="center"/>
          </w:tcPr>
          <w:p w14:paraId="0220F53A" w14:textId="62EAC3EE" w:rsidR="002A24F7" w:rsidRDefault="002A24F7" w:rsidP="00C90350">
            <w:pPr>
              <w:spacing w:after="0"/>
              <w:jc w:val="center"/>
            </w:pPr>
            <w:r>
              <w:t>div.s</w:t>
            </w:r>
          </w:p>
        </w:tc>
        <w:tc>
          <w:tcPr>
            <w:tcW w:w="3564" w:type="dxa"/>
            <w:tcBorders>
              <w:left w:val="single" w:sz="12" w:space="0" w:color="auto"/>
            </w:tcBorders>
            <w:vAlign w:val="center"/>
          </w:tcPr>
          <w:p w14:paraId="456C5BF5" w14:textId="5A6C388D" w:rsidR="002A24F7" w:rsidRDefault="002A24F7" w:rsidP="00C90350">
            <w:pPr>
              <w:spacing w:after="0"/>
              <w:jc w:val="center"/>
            </w:pPr>
            <w:r>
              <w:t>div.d</w:t>
            </w:r>
          </w:p>
        </w:tc>
      </w:tr>
      <w:tr w:rsidR="007149CA" w14:paraId="0FD381D8" w14:textId="77777777" w:rsidTr="007149CA">
        <w:trPr>
          <w:trHeight w:val="360"/>
        </w:trPr>
        <w:tc>
          <w:tcPr>
            <w:tcW w:w="3564" w:type="dxa"/>
            <w:tcBorders>
              <w:right w:val="single" w:sz="12" w:space="0" w:color="auto"/>
            </w:tcBorders>
            <w:vAlign w:val="center"/>
          </w:tcPr>
          <w:p w14:paraId="3B27C8CB" w14:textId="747B5527" w:rsidR="002A24F7" w:rsidRDefault="00835BA8" w:rsidP="00C90350">
            <w:pPr>
              <w:spacing w:after="0"/>
              <w:jc w:val="center"/>
            </w:pPr>
            <w:r>
              <w:t>l</w:t>
            </w:r>
            <w:r w:rsidR="002A24F7">
              <w:t>w</w:t>
            </w:r>
          </w:p>
        </w:tc>
        <w:tc>
          <w:tcPr>
            <w:tcW w:w="3672" w:type="dxa"/>
            <w:tcBorders>
              <w:left w:val="single" w:sz="12" w:space="0" w:color="auto"/>
              <w:right w:val="single" w:sz="12" w:space="0" w:color="auto"/>
            </w:tcBorders>
            <w:vAlign w:val="center"/>
          </w:tcPr>
          <w:p w14:paraId="004EF5AE" w14:textId="1C532591" w:rsidR="002A24F7" w:rsidRDefault="002A24F7" w:rsidP="00C90350">
            <w:pPr>
              <w:spacing w:after="0"/>
              <w:jc w:val="center"/>
            </w:pPr>
            <w:r>
              <w:t>lwc1</w:t>
            </w:r>
          </w:p>
        </w:tc>
        <w:tc>
          <w:tcPr>
            <w:tcW w:w="3564" w:type="dxa"/>
            <w:tcBorders>
              <w:left w:val="single" w:sz="12" w:space="0" w:color="auto"/>
            </w:tcBorders>
            <w:vAlign w:val="center"/>
          </w:tcPr>
          <w:p w14:paraId="7033D732" w14:textId="2F3B5000" w:rsidR="002A24F7" w:rsidRDefault="002A24F7" w:rsidP="00C90350">
            <w:pPr>
              <w:spacing w:after="0"/>
              <w:jc w:val="center"/>
            </w:pPr>
            <w:r>
              <w:t>ldc1</w:t>
            </w:r>
          </w:p>
        </w:tc>
      </w:tr>
      <w:tr w:rsidR="007149CA" w14:paraId="34C9A3C9" w14:textId="77777777" w:rsidTr="007149CA">
        <w:trPr>
          <w:trHeight w:val="360"/>
        </w:trPr>
        <w:tc>
          <w:tcPr>
            <w:tcW w:w="3564" w:type="dxa"/>
            <w:tcBorders>
              <w:right w:val="single" w:sz="12" w:space="0" w:color="auto"/>
            </w:tcBorders>
            <w:vAlign w:val="center"/>
          </w:tcPr>
          <w:p w14:paraId="4028F3E4" w14:textId="28725C17" w:rsidR="002A24F7" w:rsidRDefault="00835BA8" w:rsidP="00C90350">
            <w:pPr>
              <w:spacing w:after="0"/>
              <w:jc w:val="center"/>
            </w:pPr>
            <w:r>
              <w:t>s</w:t>
            </w:r>
            <w:r w:rsidR="002A24F7">
              <w:t>w</w:t>
            </w:r>
          </w:p>
        </w:tc>
        <w:tc>
          <w:tcPr>
            <w:tcW w:w="3672" w:type="dxa"/>
            <w:tcBorders>
              <w:left w:val="single" w:sz="12" w:space="0" w:color="auto"/>
              <w:right w:val="single" w:sz="12" w:space="0" w:color="auto"/>
            </w:tcBorders>
            <w:vAlign w:val="center"/>
          </w:tcPr>
          <w:p w14:paraId="7E21430C" w14:textId="419EACEA" w:rsidR="002A24F7" w:rsidRDefault="002A24F7" w:rsidP="00C90350">
            <w:pPr>
              <w:spacing w:after="0"/>
              <w:jc w:val="center"/>
            </w:pPr>
            <w:r>
              <w:t>swc1</w:t>
            </w:r>
          </w:p>
        </w:tc>
        <w:tc>
          <w:tcPr>
            <w:tcW w:w="3564" w:type="dxa"/>
            <w:tcBorders>
              <w:left w:val="single" w:sz="12" w:space="0" w:color="auto"/>
            </w:tcBorders>
            <w:vAlign w:val="center"/>
          </w:tcPr>
          <w:p w14:paraId="5D161FAA" w14:textId="6670719F" w:rsidR="002A24F7" w:rsidRDefault="002A24F7" w:rsidP="00C90350">
            <w:pPr>
              <w:spacing w:after="0"/>
              <w:jc w:val="center"/>
            </w:pPr>
            <w:r>
              <w:t>sdc1</w:t>
            </w:r>
          </w:p>
        </w:tc>
      </w:tr>
      <w:tr w:rsidR="007149CA" w14:paraId="39DB261A" w14:textId="77777777" w:rsidTr="007149CA">
        <w:trPr>
          <w:trHeight w:val="360"/>
        </w:trPr>
        <w:tc>
          <w:tcPr>
            <w:tcW w:w="3564" w:type="dxa"/>
            <w:tcBorders>
              <w:right w:val="single" w:sz="12" w:space="0" w:color="auto"/>
            </w:tcBorders>
            <w:vAlign w:val="center"/>
          </w:tcPr>
          <w:p w14:paraId="24709ED8" w14:textId="23F1C84B" w:rsidR="002A24F7" w:rsidRDefault="00835BA8" w:rsidP="00C90350">
            <w:pPr>
              <w:spacing w:after="0"/>
              <w:jc w:val="center"/>
            </w:pPr>
            <w:r>
              <w:t>m</w:t>
            </w:r>
            <w:r w:rsidR="004E1453">
              <w:t>o</w:t>
            </w:r>
            <w:r w:rsidR="002A24F7">
              <w:t>v</w:t>
            </w:r>
            <w:r w:rsidR="004E1453">
              <w:t>e</w:t>
            </w:r>
          </w:p>
        </w:tc>
        <w:tc>
          <w:tcPr>
            <w:tcW w:w="3672" w:type="dxa"/>
            <w:tcBorders>
              <w:left w:val="single" w:sz="12" w:space="0" w:color="auto"/>
              <w:right w:val="single" w:sz="12" w:space="0" w:color="auto"/>
            </w:tcBorders>
            <w:vAlign w:val="center"/>
          </w:tcPr>
          <w:p w14:paraId="0F8A98B1" w14:textId="2677F3A7" w:rsidR="002A24F7" w:rsidRDefault="002A24F7" w:rsidP="00C90350">
            <w:pPr>
              <w:spacing w:after="0"/>
              <w:jc w:val="center"/>
            </w:pPr>
            <w:r>
              <w:t>mf</w:t>
            </w:r>
            <w:r w:rsidR="005E2A5B">
              <w:t>c</w:t>
            </w:r>
            <w:r>
              <w:t>1/mtc1</w:t>
            </w:r>
          </w:p>
        </w:tc>
        <w:tc>
          <w:tcPr>
            <w:tcW w:w="3564" w:type="dxa"/>
            <w:tcBorders>
              <w:left w:val="single" w:sz="12" w:space="0" w:color="auto"/>
            </w:tcBorders>
            <w:vAlign w:val="center"/>
          </w:tcPr>
          <w:p w14:paraId="53107812" w14:textId="769EE647" w:rsidR="002A24F7" w:rsidRDefault="002A24F7" w:rsidP="00C90350">
            <w:pPr>
              <w:spacing w:after="0"/>
              <w:jc w:val="center"/>
            </w:pPr>
            <w:r>
              <w:t>mf</w:t>
            </w:r>
            <w:r w:rsidR="005E2A5B">
              <w:t>c</w:t>
            </w:r>
            <w:r>
              <w:t>1</w:t>
            </w:r>
            <w:r w:rsidR="00BF1967">
              <w:t>.d</w:t>
            </w:r>
            <w:r>
              <w:t>/mtc1</w:t>
            </w:r>
            <w:r w:rsidR="00BF1967">
              <w:t>.d</w:t>
            </w:r>
          </w:p>
        </w:tc>
      </w:tr>
    </w:tbl>
    <w:p w14:paraId="551BE43E" w14:textId="77777777" w:rsidR="00056AAD" w:rsidRDefault="00056AAD" w:rsidP="001B5593"/>
    <w:p w14:paraId="7EA75A28" w14:textId="5C5EF174" w:rsidR="008373DF" w:rsidRPr="00D47CF0" w:rsidRDefault="00AE2C8D" w:rsidP="001B5593">
      <w:r>
        <w:lastRenderedPageBreak/>
        <w:t>Single-precision</w:t>
      </w:r>
      <w:r w:rsidR="006D1C46">
        <w:t xml:space="preserve"> </w:t>
      </w:r>
      <w:r w:rsidR="002E68F4">
        <w:t>floating</w:t>
      </w:r>
      <w:r w:rsidR="006D1C46">
        <w:t>-</w:t>
      </w:r>
      <w:r w:rsidR="002E68F4">
        <w:t xml:space="preserve">point operations are analogous to integer </w:t>
      </w:r>
      <w:r w:rsidR="00926868">
        <w:t>operations</w:t>
      </w:r>
      <w:r w:rsidR="002E68F4">
        <w:t xml:space="preserve"> </w:t>
      </w:r>
      <w:r w:rsidR="00926868">
        <w:t xml:space="preserve">in that </w:t>
      </w:r>
      <w:r w:rsidR="002E68F4">
        <w:t xml:space="preserve">each operand consumes </w:t>
      </w:r>
      <w:r w:rsidR="007F6832">
        <w:t>a single</w:t>
      </w:r>
      <w:r w:rsidR="002E68F4">
        <w:t xml:space="preserve"> </w:t>
      </w:r>
      <w:r w:rsidR="005364CA">
        <w:t xml:space="preserve">32-bit </w:t>
      </w:r>
      <w:r w:rsidR="002E68F4">
        <w:t xml:space="preserve">word/register. </w:t>
      </w:r>
      <w:r w:rsidR="00F94DE7">
        <w:t xml:space="preserve"> </w:t>
      </w:r>
      <w:r w:rsidR="002E68F4">
        <w:t xml:space="preserve">However, in </w:t>
      </w:r>
      <w:r>
        <w:t>double-precision</w:t>
      </w:r>
      <w:r w:rsidR="002E68F4">
        <w:t xml:space="preserve"> float</w:t>
      </w:r>
      <w:r w:rsidR="00184463">
        <w:t>ing-point</w:t>
      </w:r>
      <w:r w:rsidR="002E68F4">
        <w:t xml:space="preserve"> operations, each </w:t>
      </w:r>
      <w:r w:rsidR="00B00EE7">
        <w:t>operand</w:t>
      </w:r>
      <w:r w:rsidR="002E68F4">
        <w:t xml:space="preserve"> is 64-bits and therefore require</w:t>
      </w:r>
      <w:r w:rsidR="006B5634">
        <w:t>s</w:t>
      </w:r>
      <w:r w:rsidR="002E68F4">
        <w:t xml:space="preserve"> two registers.</w:t>
      </w:r>
      <w:r w:rsidR="006C1039">
        <w:t xml:space="preserve"> </w:t>
      </w:r>
      <w:r w:rsidR="002E68F4">
        <w:t xml:space="preserve"> Thus, adding two doubles (</w:t>
      </w:r>
      <w:r w:rsidR="002E68F4" w:rsidRPr="00230B2E">
        <w:rPr>
          <w:b/>
        </w:rPr>
        <w:t>$f2</w:t>
      </w:r>
      <w:r w:rsidR="002E68F4">
        <w:t xml:space="preserve"> and </w:t>
      </w:r>
      <w:r w:rsidR="002E68F4" w:rsidRPr="00230B2E">
        <w:rPr>
          <w:b/>
        </w:rPr>
        <w:t>$f4</w:t>
      </w:r>
      <w:r w:rsidR="002E68F4">
        <w:t xml:space="preserve">) and storing the result in </w:t>
      </w:r>
      <w:r w:rsidR="002E68F4" w:rsidRPr="003531AF">
        <w:rPr>
          <w:b/>
        </w:rPr>
        <w:t>$f0</w:t>
      </w:r>
      <w:r w:rsidR="002E68F4">
        <w:t xml:space="preserve">, </w:t>
      </w:r>
      <w:r w:rsidR="00140453">
        <w:t xml:space="preserve">(e.g. </w:t>
      </w:r>
      <w:r w:rsidR="002E68F4" w:rsidRPr="002E68F4">
        <w:rPr>
          <w:i/>
        </w:rPr>
        <w:t>add.d $f0, $f2, $f4</w:t>
      </w:r>
      <w:r w:rsidR="001C4BA1" w:rsidRPr="00671B6B">
        <w:t>)</w:t>
      </w:r>
      <w:r w:rsidR="002E68F4">
        <w:t xml:space="preserve"> require</w:t>
      </w:r>
      <w:r w:rsidR="00E86C6A">
        <w:t>s</w:t>
      </w:r>
      <w:r w:rsidR="002E68F4">
        <w:t xml:space="preserve"> </w:t>
      </w:r>
      <w:r w:rsidR="002E68F4" w:rsidRPr="00220810">
        <w:rPr>
          <w:u w:val="single"/>
        </w:rPr>
        <w:t>six</w:t>
      </w:r>
      <w:r w:rsidR="002E68F4">
        <w:t xml:space="preserve"> registers in total</w:t>
      </w:r>
      <w:r w:rsidR="002E68F4" w:rsidRPr="006531F9">
        <w:t xml:space="preserve">. </w:t>
      </w:r>
      <w:r w:rsidR="0000756C">
        <w:t xml:space="preserve"> </w:t>
      </w:r>
      <w:r w:rsidR="0024272B">
        <w:t xml:space="preserve">Furthermore, </w:t>
      </w:r>
      <w:r w:rsidR="0024272B" w:rsidRPr="00DC6678">
        <w:rPr>
          <w:b/>
          <w:color w:val="FF0000"/>
          <w:u w:val="single"/>
        </w:rPr>
        <w:t>a</w:t>
      </w:r>
      <w:r w:rsidR="002E68F4" w:rsidRPr="00DC6678">
        <w:rPr>
          <w:b/>
          <w:color w:val="FF0000"/>
          <w:u w:val="single"/>
        </w:rPr>
        <w:t xml:space="preserve">ll </w:t>
      </w:r>
      <w:r>
        <w:rPr>
          <w:b/>
          <w:color w:val="FF0000"/>
          <w:u w:val="single"/>
        </w:rPr>
        <w:t>double-precision</w:t>
      </w:r>
      <w:r w:rsidR="002E68F4" w:rsidRPr="00DC6678">
        <w:rPr>
          <w:b/>
          <w:color w:val="FF0000"/>
          <w:u w:val="single"/>
        </w:rPr>
        <w:t xml:space="preserve"> </w:t>
      </w:r>
      <w:r w:rsidR="001F344D" w:rsidRPr="00DC6678">
        <w:rPr>
          <w:b/>
          <w:color w:val="FF0000"/>
          <w:u w:val="single"/>
        </w:rPr>
        <w:t>floating-point va</w:t>
      </w:r>
      <w:r w:rsidR="00057AF6" w:rsidRPr="00DC6678">
        <w:rPr>
          <w:b/>
          <w:color w:val="FF0000"/>
          <w:u w:val="single"/>
        </w:rPr>
        <w:t>l</w:t>
      </w:r>
      <w:r w:rsidR="001F344D" w:rsidRPr="00DC6678">
        <w:rPr>
          <w:b/>
          <w:color w:val="FF0000"/>
          <w:u w:val="single"/>
        </w:rPr>
        <w:t>ues</w:t>
      </w:r>
      <w:r w:rsidR="002E68F4" w:rsidRPr="00DC6678">
        <w:rPr>
          <w:b/>
          <w:color w:val="FF0000"/>
          <w:u w:val="single"/>
        </w:rPr>
        <w:t xml:space="preserve"> must </w:t>
      </w:r>
      <w:r w:rsidR="00235468" w:rsidRPr="00DC6678">
        <w:rPr>
          <w:b/>
          <w:color w:val="FF0000"/>
          <w:u w:val="single"/>
        </w:rPr>
        <w:t>be stored</w:t>
      </w:r>
      <w:r w:rsidR="002E68F4" w:rsidRPr="00DC6678">
        <w:rPr>
          <w:b/>
          <w:color w:val="FF0000"/>
          <w:u w:val="single"/>
        </w:rPr>
        <w:t xml:space="preserve"> </w:t>
      </w:r>
      <w:r w:rsidR="00235468" w:rsidRPr="00DC6678">
        <w:rPr>
          <w:b/>
          <w:color w:val="FF0000"/>
          <w:u w:val="single"/>
        </w:rPr>
        <w:t xml:space="preserve">in </w:t>
      </w:r>
      <w:r w:rsidR="002E68F4" w:rsidRPr="00DC6678">
        <w:rPr>
          <w:b/>
          <w:color w:val="FF0000"/>
          <w:u w:val="single"/>
        </w:rPr>
        <w:t xml:space="preserve">even </w:t>
      </w:r>
      <w:r w:rsidR="0024272B" w:rsidRPr="00DC6678">
        <w:rPr>
          <w:b/>
          <w:color w:val="FF0000"/>
          <w:u w:val="single"/>
        </w:rPr>
        <w:t xml:space="preserve">numbered </w:t>
      </w:r>
      <w:r w:rsidR="002E68F4" w:rsidRPr="00DC6678">
        <w:rPr>
          <w:b/>
          <w:color w:val="FF0000"/>
          <w:u w:val="single"/>
        </w:rPr>
        <w:t>registers $f0, $f2, $f4</w:t>
      </w:r>
      <w:r w:rsidR="003C1C09" w:rsidRPr="00DC6678">
        <w:rPr>
          <w:b/>
          <w:color w:val="FF0000"/>
          <w:u w:val="single"/>
        </w:rPr>
        <w:t xml:space="preserve">, </w:t>
      </w:r>
      <w:r w:rsidR="002E68F4" w:rsidRPr="00DC6678">
        <w:rPr>
          <w:b/>
          <w:color w:val="FF0000"/>
          <w:u w:val="single"/>
        </w:rPr>
        <w:t>etc</w:t>
      </w:r>
      <w:r w:rsidR="002E68F4">
        <w:t>.</w:t>
      </w:r>
      <w:r w:rsidR="00213466">
        <w:t xml:space="preserve"> </w:t>
      </w:r>
      <w:r w:rsidR="00273F01">
        <w:t xml:space="preserve"> </w:t>
      </w:r>
      <w:r w:rsidR="000E6A56">
        <w:t xml:space="preserve">When a </w:t>
      </w:r>
      <w:r>
        <w:t>double-precision</w:t>
      </w:r>
      <w:r w:rsidR="000E6A56">
        <w:t xml:space="preserve"> float</w:t>
      </w:r>
      <w:r w:rsidR="006D24BA">
        <w:t>ing-point valu</w:t>
      </w:r>
      <w:r w:rsidR="000A4BC1">
        <w:t>e</w:t>
      </w:r>
      <w:r w:rsidR="00A21F48">
        <w:t xml:space="preserve"> is </w:t>
      </w:r>
      <w:r w:rsidR="00A5543E">
        <w:t xml:space="preserve">placed into a register the value consumes </w:t>
      </w:r>
      <w:r w:rsidR="00BF5A1D">
        <w:t>the specified register A</w:t>
      </w:r>
      <w:r w:rsidR="00B943B9">
        <w:t xml:space="preserve">ND the next numbered register. </w:t>
      </w:r>
      <w:r w:rsidR="00DB76E2">
        <w:t xml:space="preserve"> </w:t>
      </w:r>
      <w:r w:rsidR="00D47CF0">
        <w:t>Th</w:t>
      </w:r>
      <w:r w:rsidR="007E76A3">
        <w:t xml:space="preserve">at is, a </w:t>
      </w:r>
      <w:r>
        <w:t>double-precision</w:t>
      </w:r>
      <w:r w:rsidR="00D47CF0">
        <w:t xml:space="preserve"> instruction like </w:t>
      </w:r>
      <w:r w:rsidR="00D47CF0" w:rsidRPr="002E68F4">
        <w:rPr>
          <w:i/>
        </w:rPr>
        <w:t>add.d $f0, $f2, $f4</w:t>
      </w:r>
      <w:r w:rsidR="000C7F6B">
        <w:t xml:space="preserve"> actually writes the </w:t>
      </w:r>
      <w:r w:rsidR="006C37A0">
        <w:t xml:space="preserve">64-bit </w:t>
      </w:r>
      <w:r w:rsidR="000C7F6B">
        <w:t xml:space="preserve">result into TWO registers, </w:t>
      </w:r>
      <w:r w:rsidR="0058319F" w:rsidRPr="00CC17E2">
        <w:rPr>
          <w:b/>
        </w:rPr>
        <w:t>$f0</w:t>
      </w:r>
      <w:r w:rsidR="0058319F">
        <w:t xml:space="preserve"> and </w:t>
      </w:r>
      <w:r w:rsidR="0058319F" w:rsidRPr="00CC17E2">
        <w:rPr>
          <w:b/>
        </w:rPr>
        <w:t>$f1</w:t>
      </w:r>
      <w:r w:rsidR="0058319F">
        <w:t>.</w:t>
      </w:r>
      <w:r w:rsidR="00CC17E2">
        <w:t xml:space="preserve"> </w:t>
      </w:r>
      <w:r w:rsidR="0014271F">
        <w:t xml:space="preserve"> </w:t>
      </w:r>
      <w:r w:rsidR="004D4D00">
        <w:t>Of course, this means</w:t>
      </w:r>
      <w:r w:rsidR="00CB2848">
        <w:t xml:space="preserve"> that</w:t>
      </w:r>
      <w:r w:rsidR="004D4D00">
        <w:t xml:space="preserve"> if you previously had a </w:t>
      </w:r>
      <w:r>
        <w:t>single-precision</w:t>
      </w:r>
      <w:r w:rsidR="004D4D00">
        <w:t xml:space="preserve"> value stored in </w:t>
      </w:r>
      <w:r w:rsidR="004D4D00" w:rsidRPr="002050A8">
        <w:rPr>
          <w:b/>
        </w:rPr>
        <w:t>$f1</w:t>
      </w:r>
      <w:r w:rsidR="004D4D00">
        <w:t xml:space="preserve"> and </w:t>
      </w:r>
      <w:r w:rsidR="002E4CE0">
        <w:t xml:space="preserve">then </w:t>
      </w:r>
      <w:r w:rsidR="00681219">
        <w:t>execute</w:t>
      </w:r>
      <w:r w:rsidR="004D4D00">
        <w:t xml:space="preserve"> the </w:t>
      </w:r>
      <w:r w:rsidR="004D4D00" w:rsidRPr="004D4D00">
        <w:rPr>
          <w:i/>
        </w:rPr>
        <w:t>add.d</w:t>
      </w:r>
      <w:r w:rsidR="004D4D00">
        <w:t xml:space="preserve"> instruction shown above, </w:t>
      </w:r>
      <w:r w:rsidR="00221B95">
        <w:t xml:space="preserve">you </w:t>
      </w:r>
      <w:r w:rsidR="008B56D4">
        <w:t>will</w:t>
      </w:r>
      <w:r w:rsidR="00221B95">
        <w:t xml:space="preserve"> overwrit</w:t>
      </w:r>
      <w:r w:rsidR="00A77AA7">
        <w:t xml:space="preserve">e </w:t>
      </w:r>
      <w:r w:rsidR="008355AF">
        <w:t xml:space="preserve">the </w:t>
      </w:r>
      <w:r>
        <w:t>single-precision</w:t>
      </w:r>
      <w:r w:rsidR="00A77AA7">
        <w:t xml:space="preserve"> value</w:t>
      </w:r>
      <w:r w:rsidR="00954705">
        <w:t xml:space="preserve"> in </w:t>
      </w:r>
      <w:r w:rsidR="00954705" w:rsidRPr="00C4484C">
        <w:rPr>
          <w:b/>
        </w:rPr>
        <w:t>$f1</w:t>
      </w:r>
      <w:r w:rsidR="00A77AA7">
        <w:t>.</w:t>
      </w:r>
      <w:r w:rsidR="002516C2">
        <w:t xml:space="preserve"> </w:t>
      </w:r>
      <w:r w:rsidR="00A77AA7">
        <w:t xml:space="preserve"> </w:t>
      </w:r>
      <w:r w:rsidR="00CD66F9">
        <w:t xml:space="preserve">Likewise, if you execute </w:t>
      </w:r>
      <w:r w:rsidR="00647A0A">
        <w:t>the</w:t>
      </w:r>
      <w:r w:rsidR="00CD66F9">
        <w:t xml:space="preserve"> </w:t>
      </w:r>
      <w:r w:rsidR="00CD66F9" w:rsidRPr="00CD66F9">
        <w:rPr>
          <w:i/>
        </w:rPr>
        <w:t>add.d</w:t>
      </w:r>
      <w:r w:rsidR="00CD66F9">
        <w:t xml:space="preserve"> instruction shown above and then</w:t>
      </w:r>
      <w:r w:rsidR="00583210">
        <w:t xml:space="preserve"> later</w:t>
      </w:r>
      <w:r w:rsidR="00CD66F9">
        <w:t xml:space="preserve"> </w:t>
      </w:r>
      <w:r w:rsidR="006605EF">
        <w:t xml:space="preserve">overwrite register </w:t>
      </w:r>
      <w:r w:rsidR="006605EF" w:rsidRPr="002261B6">
        <w:rPr>
          <w:b/>
        </w:rPr>
        <w:t>$f1</w:t>
      </w:r>
      <w:r w:rsidR="001E4CB8">
        <w:t xml:space="preserve"> with a </w:t>
      </w:r>
      <w:r w:rsidR="00107928">
        <w:t>32-bit value</w:t>
      </w:r>
      <w:r w:rsidR="003729F3">
        <w:t>,</w:t>
      </w:r>
      <w:r w:rsidR="00107928">
        <w:t xml:space="preserve"> </w:t>
      </w:r>
      <w:r w:rsidR="009B0F10">
        <w:t xml:space="preserve">you corrupt the contents of the double stored in register </w:t>
      </w:r>
      <w:r w:rsidR="009B0F10" w:rsidRPr="003729F3">
        <w:rPr>
          <w:b/>
        </w:rPr>
        <w:t>$f0</w:t>
      </w:r>
      <w:r w:rsidR="009B0F10">
        <w:t>.</w:t>
      </w:r>
      <w:r w:rsidR="007D34A6">
        <w:t xml:space="preserve"> </w:t>
      </w:r>
      <w:r w:rsidR="003F72F7" w:rsidRPr="009957D3">
        <w:rPr>
          <w:rFonts w:ascii="Apple Color Emoji" w:eastAsia="Apple Color Emoji" w:hAnsi="Apple Color Emoji" w:cs="Apple Color Emoji"/>
        </w:rPr>
        <w:t>😮</w:t>
      </w:r>
    </w:p>
    <w:p w14:paraId="7E83AFC1" w14:textId="095EAE54" w:rsidR="00715B65" w:rsidRDefault="00715B65" w:rsidP="001B5593">
      <w:r>
        <w:t xml:space="preserve">Single and </w:t>
      </w:r>
      <w:r w:rsidR="00AE2C8D">
        <w:t>double-precision</w:t>
      </w:r>
      <w:r w:rsidR="00294C74">
        <w:t xml:space="preserve"> floating-point values</w:t>
      </w:r>
      <w:r>
        <w:t xml:space="preserve"> can be loaded</w:t>
      </w:r>
      <w:r w:rsidR="000E593F">
        <w:t>/stored</w:t>
      </w:r>
      <w:r>
        <w:t xml:space="preserve"> </w:t>
      </w:r>
      <w:r w:rsidR="00FE5231">
        <w:t>from</w:t>
      </w:r>
      <w:r w:rsidR="007D5F77">
        <w:t>/to</w:t>
      </w:r>
      <w:r w:rsidR="00FE5231">
        <w:t xml:space="preserve"> memory </w:t>
      </w:r>
      <w:r>
        <w:t xml:space="preserve">in the same manner as integer values using load/store operations. </w:t>
      </w:r>
      <w:r w:rsidR="00EE7653">
        <w:t xml:space="preserve"> </w:t>
      </w:r>
      <w:r>
        <w:t xml:space="preserve">However, </w:t>
      </w:r>
      <w:r w:rsidR="00DC1988">
        <w:t xml:space="preserve">as previously mentioned, </w:t>
      </w:r>
      <w:r w:rsidR="00AE2C8D">
        <w:t>double-precision</w:t>
      </w:r>
      <w:r>
        <w:t xml:space="preserve"> values are 64</w:t>
      </w:r>
      <w:r w:rsidR="00B36442">
        <w:t xml:space="preserve"> </w:t>
      </w:r>
      <w:r>
        <w:t xml:space="preserve">bits </w:t>
      </w:r>
      <w:r w:rsidR="00E30302">
        <w:t>(</w:t>
      </w:r>
      <w:r>
        <w:t>8</w:t>
      </w:r>
      <w:r w:rsidR="00151881">
        <w:t xml:space="preserve"> </w:t>
      </w:r>
      <w:r>
        <w:t>bytes</w:t>
      </w:r>
      <w:r w:rsidR="00E30302">
        <w:t>)</w:t>
      </w:r>
      <w:r>
        <w:t xml:space="preserve"> long, instead of the familiar </w:t>
      </w:r>
      <w:r w:rsidR="008062B7">
        <w:t>32 bits (</w:t>
      </w:r>
      <w:r>
        <w:t>4</w:t>
      </w:r>
      <w:r w:rsidR="00C623D9">
        <w:t xml:space="preserve"> </w:t>
      </w:r>
      <w:r>
        <w:t>b</w:t>
      </w:r>
      <w:r w:rsidR="00374436">
        <w:t>ytes</w:t>
      </w:r>
      <w:r w:rsidR="008062B7">
        <w:t>)</w:t>
      </w:r>
      <w:r>
        <w:t xml:space="preserve">. </w:t>
      </w:r>
      <w:r w:rsidR="00413363">
        <w:t xml:space="preserve"> </w:t>
      </w:r>
      <w:r>
        <w:t xml:space="preserve">Furthermore, </w:t>
      </w:r>
      <w:r w:rsidR="008F54A7">
        <w:t xml:space="preserve">loading a </w:t>
      </w:r>
      <w:r w:rsidR="00AE2C8D">
        <w:t>double-precision</w:t>
      </w:r>
      <w:r>
        <w:t xml:space="preserve"> </w:t>
      </w:r>
      <w:r w:rsidR="00EA5FC4">
        <w:t>va</w:t>
      </w:r>
      <w:r w:rsidR="00460FA2">
        <w:t>l</w:t>
      </w:r>
      <w:r w:rsidR="00EA5FC4">
        <w:t>ue</w:t>
      </w:r>
      <w:r>
        <w:t xml:space="preserve"> </w:t>
      </w:r>
      <w:r w:rsidR="008A0751">
        <w:t xml:space="preserve">from memory </w:t>
      </w:r>
      <w:r>
        <w:t>into a floating</w:t>
      </w:r>
      <w:r w:rsidR="00AC0E4E">
        <w:t>-point</w:t>
      </w:r>
      <w:r>
        <w:t xml:space="preserve"> register will consume </w:t>
      </w:r>
      <w:r w:rsidR="00320229">
        <w:t>the specified</w:t>
      </w:r>
      <w:r>
        <w:t xml:space="preserve"> reg</w:t>
      </w:r>
      <w:r w:rsidR="005772A0">
        <w:t>ister and its adja</w:t>
      </w:r>
      <w:r w:rsidR="004961EF">
        <w:t xml:space="preserve">cent neighbor in the same way that </w:t>
      </w:r>
      <w:r w:rsidR="001F533E">
        <w:t>the dou</w:t>
      </w:r>
      <w:r w:rsidR="007F3ABB">
        <w:t xml:space="preserve">ble-precision </w:t>
      </w:r>
      <w:r w:rsidR="004961EF">
        <w:t>arithmetic instructions did in the previous paragraph.</w:t>
      </w:r>
    </w:p>
    <w:p w14:paraId="1CA59FFD" w14:textId="6CA147C7" w:rsidR="00FF2E6C" w:rsidRDefault="00835BA8" w:rsidP="001B5593">
      <w:pPr>
        <w:rPr>
          <w:b/>
        </w:rPr>
      </w:pPr>
      <w:r w:rsidRPr="00835BA8">
        <w:rPr>
          <w:b/>
        </w:rPr>
        <w:t>2.3 Comparison and Branching with Floating</w:t>
      </w:r>
      <w:r w:rsidR="00C32EF8">
        <w:rPr>
          <w:b/>
        </w:rPr>
        <w:t>-</w:t>
      </w:r>
      <w:r w:rsidRPr="00835BA8">
        <w:rPr>
          <w:b/>
        </w:rPr>
        <w:t>Point</w:t>
      </w:r>
      <w:r w:rsidR="00C32EF8">
        <w:rPr>
          <w:b/>
        </w:rPr>
        <w:t xml:space="preserve"> Values</w:t>
      </w:r>
    </w:p>
    <w:p w14:paraId="18581F7F" w14:textId="2315D6F7" w:rsidR="00000DDD" w:rsidRDefault="00BE2B3E" w:rsidP="001B5593">
      <w:r>
        <w:t>Comparisons and branches with floating</w:t>
      </w:r>
      <w:r w:rsidR="00294CF6">
        <w:t>-</w:t>
      </w:r>
      <w:r>
        <w:t xml:space="preserve">point </w:t>
      </w:r>
      <w:r w:rsidR="00BA5B4D">
        <w:t>values</w:t>
      </w:r>
      <w:r>
        <w:t xml:space="preserve"> are similar </w:t>
      </w:r>
      <w:r w:rsidR="00FA0183">
        <w:t xml:space="preserve">to </w:t>
      </w:r>
      <w:r w:rsidR="007D45D3">
        <w:t xml:space="preserve">those of </w:t>
      </w:r>
      <w:r>
        <w:t xml:space="preserve">integer </w:t>
      </w:r>
      <w:r w:rsidR="00620CCD">
        <w:t>value</w:t>
      </w:r>
      <w:r w:rsidR="00642CA9">
        <w:t>s</w:t>
      </w:r>
      <w:r>
        <w:t xml:space="preserve">. </w:t>
      </w:r>
      <w:r w:rsidR="00165BE4">
        <w:t xml:space="preserve"> </w:t>
      </w:r>
      <w:r>
        <w:t>One distinction is that the result</w:t>
      </w:r>
      <w:r w:rsidR="00300463">
        <w:t>s</w:t>
      </w:r>
      <w:r>
        <w:t xml:space="preserve"> of all </w:t>
      </w:r>
      <w:r w:rsidR="00161C7C">
        <w:t xml:space="preserve">floating-point </w:t>
      </w:r>
      <w:r>
        <w:t xml:space="preserve">comparisons </w:t>
      </w:r>
      <w:r w:rsidR="00055345">
        <w:t>are</w:t>
      </w:r>
      <w:r>
        <w:t xml:space="preserve"> stored in a special </w:t>
      </w:r>
      <w:r w:rsidRPr="00BE2B3E">
        <w:rPr>
          <w:i/>
        </w:rPr>
        <w:t>FPCond</w:t>
      </w:r>
      <w:r>
        <w:t xml:space="preserve"> register. </w:t>
      </w:r>
      <w:r w:rsidR="00A22710">
        <w:t xml:space="preserve"> </w:t>
      </w:r>
      <w:r w:rsidR="00874844">
        <w:t>F</w:t>
      </w:r>
      <w:r>
        <w:t>loating</w:t>
      </w:r>
      <w:r w:rsidR="00E2441B">
        <w:t>-point</w:t>
      </w:r>
      <w:r>
        <w:t xml:space="preserve"> compar</w:t>
      </w:r>
      <w:r w:rsidR="00874844">
        <w:t>ison</w:t>
      </w:r>
      <w:r>
        <w:t xml:space="preserve"> instructions automatically place the comparison result in that register</w:t>
      </w:r>
      <w:r w:rsidR="00EF3D8C">
        <w:t>.</w:t>
      </w:r>
      <w:r>
        <w:t xml:space="preserve"> </w:t>
      </w:r>
      <w:r w:rsidR="00A22710">
        <w:t xml:space="preserve"> </w:t>
      </w:r>
      <w:r w:rsidR="00EF3D8C">
        <w:t xml:space="preserve">This is distinct from integer comparisons </w:t>
      </w:r>
      <w:r w:rsidR="00026C1C">
        <w:t>that use</w:t>
      </w:r>
      <w:r w:rsidR="00407E0E">
        <w:t xml:space="preserve"> an</w:t>
      </w:r>
      <w:r>
        <w:t xml:space="preserve"> </w:t>
      </w:r>
      <w:r>
        <w:rPr>
          <w:i/>
        </w:rPr>
        <w:t>slt</w:t>
      </w:r>
      <w:r w:rsidR="00FE7880">
        <w:t xml:space="preserve"> instruction</w:t>
      </w:r>
      <w:r>
        <w:t xml:space="preserve"> where </w:t>
      </w:r>
      <w:r w:rsidR="00E23EEE">
        <w:t xml:space="preserve">the destination </w:t>
      </w:r>
      <w:r w:rsidR="002E000B">
        <w:t xml:space="preserve">register </w:t>
      </w:r>
      <w:r w:rsidR="00E23EEE">
        <w:t xml:space="preserve">of the </w:t>
      </w:r>
      <w:r>
        <w:t xml:space="preserve">result </w:t>
      </w:r>
      <w:r w:rsidR="00CA7CB4">
        <w:t>is</w:t>
      </w:r>
      <w:r>
        <w:t xml:space="preserve"> specified.</w:t>
      </w:r>
      <w:r w:rsidR="00CD2504">
        <w:t xml:space="preserve"> </w:t>
      </w:r>
      <w:r w:rsidR="00A22710">
        <w:t xml:space="preserve"> </w:t>
      </w:r>
      <w:r w:rsidR="006A5F41">
        <w:t xml:space="preserve">In conjunction with the </w:t>
      </w:r>
      <w:r w:rsidR="006A5F41" w:rsidRPr="006A5F41">
        <w:rPr>
          <w:i/>
        </w:rPr>
        <w:t>FPCond</w:t>
      </w:r>
      <w:r w:rsidR="006C33BD">
        <w:t xml:space="preserve"> register</w:t>
      </w:r>
      <w:r w:rsidR="00CD2504">
        <w:t xml:space="preserve">, two branch instructions are provided </w:t>
      </w:r>
      <w:r w:rsidR="006A1B10">
        <w:t>that</w:t>
      </w:r>
      <w:r w:rsidR="00CD2504">
        <w:t xml:space="preserve"> branch based upon whether the </w:t>
      </w:r>
      <w:r w:rsidR="00CD2504" w:rsidRPr="00CD2504">
        <w:rPr>
          <w:i/>
        </w:rPr>
        <w:t>FPCond</w:t>
      </w:r>
      <w:r w:rsidR="00CD2504">
        <w:t xml:space="preserve"> contains a 1 (</w:t>
      </w:r>
      <w:r w:rsidR="00860D70" w:rsidRPr="00860D70">
        <w:rPr>
          <w:i/>
        </w:rPr>
        <w:t>bc1t</w:t>
      </w:r>
      <w:r w:rsidR="00860D70">
        <w:t xml:space="preserve">, </w:t>
      </w:r>
      <w:r w:rsidR="00B54B7F">
        <w:t xml:space="preserve">branch when </w:t>
      </w:r>
      <w:r w:rsidR="00CD2504">
        <w:t>comparison is true) or a 0 (</w:t>
      </w:r>
      <w:r w:rsidR="00D82371" w:rsidRPr="00860D70">
        <w:rPr>
          <w:i/>
        </w:rPr>
        <w:t>bc1</w:t>
      </w:r>
      <w:r w:rsidR="00D82371">
        <w:rPr>
          <w:i/>
        </w:rPr>
        <w:t>f</w:t>
      </w:r>
      <w:r w:rsidR="00D82371" w:rsidRPr="00D82371">
        <w:t>,</w:t>
      </w:r>
      <w:r w:rsidR="00D82371">
        <w:t xml:space="preserve"> </w:t>
      </w:r>
      <w:r w:rsidR="00A22249">
        <w:t xml:space="preserve">branch when </w:t>
      </w:r>
      <w:r w:rsidR="00CD2504">
        <w:t>comparison is false).  Consequently</w:t>
      </w:r>
      <w:r w:rsidR="006D173F">
        <w:t>,</w:t>
      </w:r>
      <w:r w:rsidR="00CD2504">
        <w:t xml:space="preserve"> </w:t>
      </w:r>
      <w:r w:rsidR="0063197C">
        <w:t xml:space="preserve">the basic </w:t>
      </w:r>
      <w:r w:rsidR="00CD2504">
        <w:t>floating</w:t>
      </w:r>
      <w:r w:rsidR="005E58C0">
        <w:t>-point</w:t>
      </w:r>
      <w:r w:rsidR="00CD2504">
        <w:t xml:space="preserve"> branch</w:t>
      </w:r>
      <w:r w:rsidR="005E58C0">
        <w:t xml:space="preserve"> instructions</w:t>
      </w:r>
      <w:r w:rsidR="00CD2504">
        <w:t xml:space="preserve"> only take one </w:t>
      </w:r>
      <w:r w:rsidR="008209ED">
        <w:t>operand</w:t>
      </w:r>
      <w:r w:rsidR="00FF6C56">
        <w:t>,</w:t>
      </w:r>
      <w:r w:rsidR="00CD2504">
        <w:t xml:space="preserve"> </w:t>
      </w:r>
      <w:r w:rsidR="006B3304">
        <w:t>a</w:t>
      </w:r>
      <w:r w:rsidR="00CD2504">
        <w:t xml:space="preserve"> </w:t>
      </w:r>
      <w:r w:rsidR="00AD4FE4">
        <w:t xml:space="preserve">destination </w:t>
      </w:r>
      <w:r w:rsidR="00CD2504">
        <w:t xml:space="preserve">label </w:t>
      </w:r>
      <w:r w:rsidR="00AD4FE4">
        <w:t xml:space="preserve">for the branch </w:t>
      </w:r>
      <w:r w:rsidR="00CD2504">
        <w:t>if th</w:t>
      </w:r>
      <w:r w:rsidR="00541F0F">
        <w:t xml:space="preserve">e branching instruction is true.  </w:t>
      </w:r>
      <w:r w:rsidR="00000DDD">
        <w:t xml:space="preserve">Table 2 shows the integer </w:t>
      </w:r>
      <w:r w:rsidR="00D62955">
        <w:t>compare</w:t>
      </w:r>
      <w:r w:rsidR="00000DDD">
        <w:t xml:space="preserve"> and </w:t>
      </w:r>
      <w:r w:rsidR="00AC503C">
        <w:t>branch</w:t>
      </w:r>
      <w:r w:rsidR="00000DDD">
        <w:t xml:space="preserve"> instructions with the equivalent floating</w:t>
      </w:r>
      <w:r w:rsidR="00E643DF">
        <w:t>-</w:t>
      </w:r>
      <w:r w:rsidR="00000DDD">
        <w:t xml:space="preserve">point </w:t>
      </w:r>
      <w:r w:rsidR="00EB2B05">
        <w:t>instruction</w:t>
      </w:r>
      <w:r w:rsidR="00000DDD">
        <w:t>.</w:t>
      </w:r>
    </w:p>
    <w:p w14:paraId="5C9CAD2A" w14:textId="77777777" w:rsidR="00243F5F" w:rsidRDefault="00243F5F" w:rsidP="001B5593"/>
    <w:p w14:paraId="15001D28" w14:textId="6F90C0F5" w:rsidR="00B12CF9" w:rsidRPr="000C6624" w:rsidRDefault="000C6624" w:rsidP="000C6624">
      <w:pPr>
        <w:pStyle w:val="Caption"/>
        <w:keepNext/>
        <w:jc w:val="center"/>
        <w:outlineLvl w:val="0"/>
        <w:rPr>
          <w:color w:val="000000" w:themeColor="text1"/>
        </w:rPr>
      </w:pPr>
      <w:r w:rsidRPr="003D6D78">
        <w:rPr>
          <w:color w:val="000000" w:themeColor="text1"/>
        </w:rPr>
        <w:t xml:space="preserve">Table </w:t>
      </w:r>
      <w:r w:rsidRPr="003D6D78">
        <w:rPr>
          <w:color w:val="000000" w:themeColor="text1"/>
        </w:rPr>
        <w:fldChar w:fldCharType="begin"/>
      </w:r>
      <w:r w:rsidRPr="003D6D78">
        <w:rPr>
          <w:color w:val="000000" w:themeColor="text1"/>
        </w:rPr>
        <w:instrText xml:space="preserve"> SEQ Table \* ARABIC </w:instrText>
      </w:r>
      <w:r w:rsidRPr="003D6D78">
        <w:rPr>
          <w:color w:val="000000" w:themeColor="text1"/>
        </w:rPr>
        <w:fldChar w:fldCharType="separate"/>
      </w:r>
      <w:r>
        <w:rPr>
          <w:noProof/>
          <w:color w:val="000000" w:themeColor="text1"/>
        </w:rPr>
        <w:t>2</w:t>
      </w:r>
      <w:r w:rsidRPr="003D6D78">
        <w:rPr>
          <w:color w:val="000000" w:themeColor="text1"/>
        </w:rPr>
        <w:fldChar w:fldCharType="end"/>
      </w:r>
      <w:r w:rsidRPr="003D6D78">
        <w:rPr>
          <w:color w:val="000000" w:themeColor="text1"/>
        </w:rPr>
        <w:t xml:space="preserve">: Comparison of integer, </w:t>
      </w:r>
      <w:r w:rsidR="00AE2C8D">
        <w:rPr>
          <w:color w:val="000000" w:themeColor="text1"/>
        </w:rPr>
        <w:t>single-precision</w:t>
      </w:r>
      <w:r w:rsidRPr="003D6D78">
        <w:rPr>
          <w:color w:val="000000" w:themeColor="text1"/>
        </w:rPr>
        <w:t xml:space="preserve">, and </w:t>
      </w:r>
      <w:r w:rsidR="00AE2C8D">
        <w:rPr>
          <w:color w:val="000000" w:themeColor="text1"/>
        </w:rPr>
        <w:t>double-precision</w:t>
      </w:r>
      <w:r w:rsidRPr="003D6D78">
        <w:rPr>
          <w:color w:val="000000" w:themeColor="text1"/>
        </w:rPr>
        <w:t xml:space="preserve"> floating</w:t>
      </w:r>
      <w:r>
        <w:rPr>
          <w:color w:val="000000" w:themeColor="text1"/>
        </w:rPr>
        <w:t>-</w:t>
      </w:r>
      <w:r w:rsidRPr="003D6D78">
        <w:rPr>
          <w:color w:val="000000" w:themeColor="text1"/>
        </w:rPr>
        <w:t xml:space="preserve">point </w:t>
      </w:r>
      <w:r w:rsidR="00866314">
        <w:rPr>
          <w:color w:val="000000" w:themeColor="text1"/>
        </w:rPr>
        <w:t>compare</w:t>
      </w:r>
      <w:r w:rsidR="00FE6872">
        <w:rPr>
          <w:color w:val="000000" w:themeColor="text1"/>
        </w:rPr>
        <w:t xml:space="preserve"> and branch</w:t>
      </w:r>
      <w:r>
        <w:rPr>
          <w:color w:val="000000" w:themeColor="text1"/>
        </w:rPr>
        <w:t xml:space="preserve"> </w:t>
      </w:r>
      <w:r w:rsidRPr="003D6D78">
        <w:rPr>
          <w:color w:val="000000" w:themeColor="text1"/>
        </w:rPr>
        <w:t>operations</w:t>
      </w:r>
    </w:p>
    <w:tbl>
      <w:tblPr>
        <w:tblStyle w:val="TableGrid"/>
        <w:tblW w:w="0" w:type="auto"/>
        <w:tblInd w:w="108" w:type="dxa"/>
        <w:tblLook w:val="04A0" w:firstRow="1" w:lastRow="0" w:firstColumn="1" w:lastColumn="0" w:noHBand="0" w:noVBand="1"/>
      </w:tblPr>
      <w:tblGrid>
        <w:gridCol w:w="3564"/>
        <w:gridCol w:w="3672"/>
        <w:gridCol w:w="3564"/>
      </w:tblGrid>
      <w:tr w:rsidR="00A42F3F" w14:paraId="3341DA95" w14:textId="77777777" w:rsidTr="00DC211E">
        <w:trPr>
          <w:trHeight w:val="360"/>
        </w:trPr>
        <w:tc>
          <w:tcPr>
            <w:tcW w:w="3564" w:type="dxa"/>
            <w:tcBorders>
              <w:bottom w:val="single" w:sz="12" w:space="0" w:color="auto"/>
              <w:right w:val="single" w:sz="12" w:space="0" w:color="auto"/>
            </w:tcBorders>
            <w:vAlign w:val="center"/>
          </w:tcPr>
          <w:p w14:paraId="463E716E" w14:textId="3AE7C330" w:rsidR="00A42F3F" w:rsidRDefault="00A42F3F" w:rsidP="00AA656F">
            <w:pPr>
              <w:spacing w:after="0"/>
              <w:jc w:val="center"/>
              <w:rPr>
                <w:i/>
              </w:rPr>
            </w:pPr>
            <w:r w:rsidRPr="00774895">
              <w:rPr>
                <w:b/>
              </w:rPr>
              <w:t>Integer Operation</w:t>
            </w:r>
            <w:r>
              <w:rPr>
                <w:b/>
              </w:rPr>
              <w:t>s</w:t>
            </w:r>
          </w:p>
        </w:tc>
        <w:tc>
          <w:tcPr>
            <w:tcW w:w="3672" w:type="dxa"/>
            <w:tcBorders>
              <w:left w:val="single" w:sz="12" w:space="0" w:color="auto"/>
              <w:bottom w:val="single" w:sz="12" w:space="0" w:color="auto"/>
              <w:right w:val="single" w:sz="12" w:space="0" w:color="auto"/>
            </w:tcBorders>
            <w:vAlign w:val="center"/>
          </w:tcPr>
          <w:p w14:paraId="64926199" w14:textId="119B5045" w:rsidR="00A42F3F" w:rsidRDefault="00AE2C8D" w:rsidP="00D56856">
            <w:pPr>
              <w:spacing w:after="0"/>
              <w:jc w:val="center"/>
              <w:rPr>
                <w:i/>
              </w:rPr>
            </w:pPr>
            <w:r>
              <w:rPr>
                <w:b/>
              </w:rPr>
              <w:t>Single-precision</w:t>
            </w:r>
            <w:r w:rsidR="00A42F3F">
              <w:rPr>
                <w:b/>
              </w:rPr>
              <w:t xml:space="preserve"> </w:t>
            </w:r>
            <w:r w:rsidR="00A42F3F" w:rsidRPr="00774895">
              <w:rPr>
                <w:b/>
              </w:rPr>
              <w:t>Floating</w:t>
            </w:r>
            <w:r w:rsidR="00D56856">
              <w:rPr>
                <w:b/>
              </w:rPr>
              <w:t>-</w:t>
            </w:r>
            <w:r w:rsidR="00A42F3F" w:rsidRPr="00774895">
              <w:rPr>
                <w:b/>
              </w:rPr>
              <w:t>Point</w:t>
            </w:r>
            <w:r w:rsidR="00A42F3F">
              <w:rPr>
                <w:b/>
              </w:rPr>
              <w:t xml:space="preserve"> Ops</w:t>
            </w:r>
          </w:p>
        </w:tc>
        <w:tc>
          <w:tcPr>
            <w:tcW w:w="3564" w:type="dxa"/>
            <w:tcBorders>
              <w:left w:val="single" w:sz="12" w:space="0" w:color="auto"/>
              <w:bottom w:val="single" w:sz="12" w:space="0" w:color="auto"/>
            </w:tcBorders>
            <w:vAlign w:val="center"/>
          </w:tcPr>
          <w:p w14:paraId="5EB72636" w14:textId="1464560A" w:rsidR="00A42F3F" w:rsidRDefault="00AE2C8D" w:rsidP="00D56856">
            <w:pPr>
              <w:spacing w:after="0"/>
              <w:jc w:val="center"/>
              <w:rPr>
                <w:i/>
              </w:rPr>
            </w:pPr>
            <w:r>
              <w:rPr>
                <w:b/>
              </w:rPr>
              <w:t>Double-precision</w:t>
            </w:r>
            <w:r w:rsidR="00A42F3F">
              <w:rPr>
                <w:b/>
              </w:rPr>
              <w:t xml:space="preserve"> </w:t>
            </w:r>
            <w:r w:rsidR="00A42F3F" w:rsidRPr="00774895">
              <w:rPr>
                <w:b/>
              </w:rPr>
              <w:t>Floating</w:t>
            </w:r>
            <w:r w:rsidR="00D56856">
              <w:rPr>
                <w:b/>
              </w:rPr>
              <w:t>-</w:t>
            </w:r>
            <w:r w:rsidR="00A42F3F" w:rsidRPr="00774895">
              <w:rPr>
                <w:b/>
              </w:rPr>
              <w:t>Point</w:t>
            </w:r>
            <w:r w:rsidR="00A42F3F">
              <w:rPr>
                <w:b/>
              </w:rPr>
              <w:t xml:space="preserve"> Ops</w:t>
            </w:r>
          </w:p>
        </w:tc>
      </w:tr>
      <w:tr w:rsidR="00774895" w14:paraId="6D9A474B" w14:textId="77777777" w:rsidTr="00DC211E">
        <w:trPr>
          <w:trHeight w:val="360"/>
        </w:trPr>
        <w:tc>
          <w:tcPr>
            <w:tcW w:w="3564" w:type="dxa"/>
            <w:tcBorders>
              <w:top w:val="single" w:sz="12" w:space="0" w:color="auto"/>
              <w:right w:val="single" w:sz="12" w:space="0" w:color="auto"/>
            </w:tcBorders>
            <w:vAlign w:val="center"/>
          </w:tcPr>
          <w:p w14:paraId="006B4E5D" w14:textId="11878548" w:rsidR="00774895" w:rsidRPr="00774895" w:rsidRDefault="00774895" w:rsidP="00AA656F">
            <w:pPr>
              <w:spacing w:after="0"/>
              <w:jc w:val="center"/>
            </w:pPr>
            <w:r>
              <w:t>slt</w:t>
            </w:r>
          </w:p>
        </w:tc>
        <w:tc>
          <w:tcPr>
            <w:tcW w:w="3672" w:type="dxa"/>
            <w:tcBorders>
              <w:top w:val="single" w:sz="12" w:space="0" w:color="auto"/>
              <w:left w:val="single" w:sz="12" w:space="0" w:color="auto"/>
              <w:right w:val="single" w:sz="12" w:space="0" w:color="auto"/>
            </w:tcBorders>
            <w:vAlign w:val="center"/>
          </w:tcPr>
          <w:p w14:paraId="2FA9FD29" w14:textId="5955FF68" w:rsidR="00774895" w:rsidRPr="00774895" w:rsidRDefault="00774895" w:rsidP="00AA656F">
            <w:pPr>
              <w:spacing w:after="0"/>
              <w:jc w:val="center"/>
            </w:pPr>
            <w:r>
              <w:t>c.lt.s</w:t>
            </w:r>
            <w:r w:rsidR="00A85FC2">
              <w:t xml:space="preserve"> (compare less than)</w:t>
            </w:r>
          </w:p>
        </w:tc>
        <w:tc>
          <w:tcPr>
            <w:tcW w:w="3564" w:type="dxa"/>
            <w:tcBorders>
              <w:top w:val="single" w:sz="12" w:space="0" w:color="auto"/>
              <w:left w:val="single" w:sz="12" w:space="0" w:color="auto"/>
            </w:tcBorders>
            <w:vAlign w:val="center"/>
          </w:tcPr>
          <w:p w14:paraId="2761CA4A" w14:textId="2C86F4CA" w:rsidR="00774895" w:rsidRPr="00774895" w:rsidRDefault="00774895" w:rsidP="00AA656F">
            <w:pPr>
              <w:spacing w:after="0"/>
              <w:jc w:val="center"/>
            </w:pPr>
            <w:r>
              <w:t>c.lt.d</w:t>
            </w:r>
          </w:p>
        </w:tc>
      </w:tr>
      <w:tr w:rsidR="00774895" w14:paraId="028D2FE9" w14:textId="77777777" w:rsidTr="00DC211E">
        <w:trPr>
          <w:trHeight w:val="360"/>
        </w:trPr>
        <w:tc>
          <w:tcPr>
            <w:tcW w:w="3564" w:type="dxa"/>
            <w:tcBorders>
              <w:right w:val="single" w:sz="12" w:space="0" w:color="auto"/>
            </w:tcBorders>
            <w:vAlign w:val="center"/>
          </w:tcPr>
          <w:p w14:paraId="52ADF89A" w14:textId="68289F51" w:rsidR="00774895" w:rsidRPr="00774895" w:rsidRDefault="00774895" w:rsidP="00AA656F">
            <w:pPr>
              <w:spacing w:after="0"/>
              <w:jc w:val="center"/>
            </w:pPr>
            <w:r>
              <w:t>slti</w:t>
            </w:r>
          </w:p>
        </w:tc>
        <w:tc>
          <w:tcPr>
            <w:tcW w:w="3672" w:type="dxa"/>
            <w:tcBorders>
              <w:left w:val="single" w:sz="12" w:space="0" w:color="auto"/>
              <w:right w:val="single" w:sz="12" w:space="0" w:color="auto"/>
            </w:tcBorders>
            <w:vAlign w:val="center"/>
          </w:tcPr>
          <w:p w14:paraId="772700D6" w14:textId="5069C252" w:rsidR="00774895" w:rsidRPr="00774895" w:rsidRDefault="00774895" w:rsidP="00AA656F">
            <w:pPr>
              <w:spacing w:after="0"/>
              <w:jc w:val="center"/>
            </w:pPr>
            <w:r>
              <w:t>N/A</w:t>
            </w:r>
          </w:p>
        </w:tc>
        <w:tc>
          <w:tcPr>
            <w:tcW w:w="3564" w:type="dxa"/>
            <w:tcBorders>
              <w:left w:val="single" w:sz="12" w:space="0" w:color="auto"/>
            </w:tcBorders>
            <w:vAlign w:val="center"/>
          </w:tcPr>
          <w:p w14:paraId="2E580A3A" w14:textId="0450B4EF" w:rsidR="00774895" w:rsidRPr="00774895" w:rsidRDefault="00774895" w:rsidP="00AA656F">
            <w:pPr>
              <w:spacing w:after="0"/>
              <w:jc w:val="center"/>
            </w:pPr>
            <w:r>
              <w:t>N/A</w:t>
            </w:r>
          </w:p>
        </w:tc>
      </w:tr>
      <w:tr w:rsidR="00774895" w14:paraId="4E5C180F" w14:textId="77777777" w:rsidTr="00DC211E">
        <w:trPr>
          <w:trHeight w:val="360"/>
        </w:trPr>
        <w:tc>
          <w:tcPr>
            <w:tcW w:w="3564" w:type="dxa"/>
            <w:tcBorders>
              <w:right w:val="single" w:sz="12" w:space="0" w:color="auto"/>
            </w:tcBorders>
            <w:vAlign w:val="center"/>
          </w:tcPr>
          <w:p w14:paraId="23090230" w14:textId="00B703B6" w:rsidR="00774895" w:rsidRDefault="0085786A" w:rsidP="00AA656F">
            <w:pPr>
              <w:spacing w:after="0"/>
              <w:jc w:val="center"/>
            </w:pPr>
            <w:r>
              <w:t>b</w:t>
            </w:r>
            <w:r w:rsidR="00774895">
              <w:t>eq</w:t>
            </w:r>
          </w:p>
        </w:tc>
        <w:tc>
          <w:tcPr>
            <w:tcW w:w="3672" w:type="dxa"/>
            <w:tcBorders>
              <w:left w:val="single" w:sz="12" w:space="0" w:color="auto"/>
              <w:right w:val="single" w:sz="12" w:space="0" w:color="auto"/>
            </w:tcBorders>
            <w:vAlign w:val="center"/>
          </w:tcPr>
          <w:p w14:paraId="2BA5A8E1" w14:textId="1BA3E10B" w:rsidR="00774895" w:rsidRPr="00774895" w:rsidRDefault="0085786A" w:rsidP="00AA656F">
            <w:pPr>
              <w:spacing w:after="0"/>
              <w:jc w:val="center"/>
            </w:pPr>
            <w:r>
              <w:t>bc1t</w:t>
            </w:r>
          </w:p>
        </w:tc>
        <w:tc>
          <w:tcPr>
            <w:tcW w:w="3564" w:type="dxa"/>
            <w:tcBorders>
              <w:left w:val="single" w:sz="12" w:space="0" w:color="auto"/>
            </w:tcBorders>
            <w:vAlign w:val="center"/>
          </w:tcPr>
          <w:p w14:paraId="0D4C977C" w14:textId="3B5174BE" w:rsidR="00774895" w:rsidRPr="00774895" w:rsidRDefault="00774895" w:rsidP="00AA656F">
            <w:pPr>
              <w:spacing w:after="0"/>
              <w:jc w:val="center"/>
            </w:pPr>
            <w:r>
              <w:t>bc1t</w:t>
            </w:r>
          </w:p>
        </w:tc>
      </w:tr>
      <w:tr w:rsidR="00774895" w14:paraId="04C54A10" w14:textId="77777777" w:rsidTr="00DC211E">
        <w:trPr>
          <w:trHeight w:val="360"/>
        </w:trPr>
        <w:tc>
          <w:tcPr>
            <w:tcW w:w="3564" w:type="dxa"/>
            <w:tcBorders>
              <w:right w:val="single" w:sz="12" w:space="0" w:color="auto"/>
            </w:tcBorders>
            <w:vAlign w:val="center"/>
          </w:tcPr>
          <w:p w14:paraId="6FA6CBE3" w14:textId="1FB6FC6A" w:rsidR="00774895" w:rsidRDefault="00774895" w:rsidP="00AA656F">
            <w:pPr>
              <w:spacing w:after="0"/>
              <w:jc w:val="center"/>
            </w:pPr>
            <w:r>
              <w:t>bne</w:t>
            </w:r>
          </w:p>
        </w:tc>
        <w:tc>
          <w:tcPr>
            <w:tcW w:w="3672" w:type="dxa"/>
            <w:tcBorders>
              <w:left w:val="single" w:sz="12" w:space="0" w:color="auto"/>
              <w:right w:val="single" w:sz="12" w:space="0" w:color="auto"/>
            </w:tcBorders>
            <w:vAlign w:val="center"/>
          </w:tcPr>
          <w:p w14:paraId="6CE8BECB" w14:textId="5A48C09B" w:rsidR="00774895" w:rsidRPr="00774895" w:rsidRDefault="00774895" w:rsidP="00AA656F">
            <w:pPr>
              <w:spacing w:after="0"/>
              <w:jc w:val="center"/>
            </w:pPr>
            <w:r>
              <w:t>bc1f</w:t>
            </w:r>
          </w:p>
        </w:tc>
        <w:tc>
          <w:tcPr>
            <w:tcW w:w="3564" w:type="dxa"/>
            <w:tcBorders>
              <w:left w:val="single" w:sz="12" w:space="0" w:color="auto"/>
            </w:tcBorders>
            <w:vAlign w:val="center"/>
          </w:tcPr>
          <w:p w14:paraId="37EC715A" w14:textId="3EF87357" w:rsidR="00774895" w:rsidRPr="00774895" w:rsidRDefault="00774895" w:rsidP="00AA656F">
            <w:pPr>
              <w:spacing w:after="0"/>
              <w:jc w:val="center"/>
            </w:pPr>
            <w:r>
              <w:t>bc1f</w:t>
            </w:r>
          </w:p>
        </w:tc>
      </w:tr>
      <w:tr w:rsidR="00A85FC2" w14:paraId="21AC4A9E" w14:textId="77777777" w:rsidTr="00DC211E">
        <w:trPr>
          <w:trHeight w:val="360"/>
        </w:trPr>
        <w:tc>
          <w:tcPr>
            <w:tcW w:w="3564" w:type="dxa"/>
            <w:tcBorders>
              <w:right w:val="single" w:sz="12" w:space="0" w:color="auto"/>
            </w:tcBorders>
            <w:vAlign w:val="center"/>
          </w:tcPr>
          <w:p w14:paraId="75567E7A" w14:textId="5C503A65" w:rsidR="00A85FC2" w:rsidRDefault="00A85FC2" w:rsidP="00AA656F">
            <w:pPr>
              <w:spacing w:after="0"/>
              <w:jc w:val="center"/>
            </w:pPr>
            <w:r>
              <w:t>N/A</w:t>
            </w:r>
          </w:p>
        </w:tc>
        <w:tc>
          <w:tcPr>
            <w:tcW w:w="3672" w:type="dxa"/>
            <w:tcBorders>
              <w:left w:val="single" w:sz="12" w:space="0" w:color="auto"/>
              <w:right w:val="single" w:sz="12" w:space="0" w:color="auto"/>
            </w:tcBorders>
            <w:vAlign w:val="center"/>
          </w:tcPr>
          <w:p w14:paraId="123EFC2B" w14:textId="182161F8" w:rsidR="00A85FC2" w:rsidRDefault="00A85FC2" w:rsidP="00AA656F">
            <w:pPr>
              <w:spacing w:after="0"/>
              <w:jc w:val="center"/>
            </w:pPr>
            <w:r>
              <w:t>c.eq.s (compare equals)</w:t>
            </w:r>
          </w:p>
        </w:tc>
        <w:tc>
          <w:tcPr>
            <w:tcW w:w="3564" w:type="dxa"/>
            <w:tcBorders>
              <w:left w:val="single" w:sz="12" w:space="0" w:color="auto"/>
            </w:tcBorders>
            <w:vAlign w:val="center"/>
          </w:tcPr>
          <w:p w14:paraId="155CBC30" w14:textId="0D8256FF" w:rsidR="00A85FC2" w:rsidRDefault="00A85FC2" w:rsidP="00AA656F">
            <w:pPr>
              <w:spacing w:after="0"/>
              <w:jc w:val="center"/>
            </w:pPr>
            <w:r>
              <w:t>c.eq.d</w:t>
            </w:r>
          </w:p>
        </w:tc>
      </w:tr>
      <w:tr w:rsidR="00A85FC2" w14:paraId="606CDC3E" w14:textId="77777777" w:rsidTr="00DC211E">
        <w:trPr>
          <w:trHeight w:val="360"/>
        </w:trPr>
        <w:tc>
          <w:tcPr>
            <w:tcW w:w="3564" w:type="dxa"/>
            <w:tcBorders>
              <w:right w:val="single" w:sz="12" w:space="0" w:color="auto"/>
            </w:tcBorders>
            <w:vAlign w:val="center"/>
          </w:tcPr>
          <w:p w14:paraId="27C0BA8C" w14:textId="0CDD12A8" w:rsidR="00A85FC2" w:rsidRDefault="00A85FC2" w:rsidP="00AA656F">
            <w:pPr>
              <w:spacing w:after="0"/>
              <w:jc w:val="center"/>
            </w:pPr>
            <w:r>
              <w:t>N/A</w:t>
            </w:r>
          </w:p>
        </w:tc>
        <w:tc>
          <w:tcPr>
            <w:tcW w:w="3672" w:type="dxa"/>
            <w:tcBorders>
              <w:left w:val="single" w:sz="12" w:space="0" w:color="auto"/>
              <w:right w:val="single" w:sz="12" w:space="0" w:color="auto"/>
            </w:tcBorders>
            <w:vAlign w:val="center"/>
          </w:tcPr>
          <w:p w14:paraId="27C16414" w14:textId="53B81DA4" w:rsidR="00A85FC2" w:rsidRDefault="00A85FC2" w:rsidP="00AA656F">
            <w:pPr>
              <w:spacing w:after="0"/>
              <w:jc w:val="center"/>
            </w:pPr>
            <w:r>
              <w:t>c.le.s (compare less than equals)</w:t>
            </w:r>
          </w:p>
        </w:tc>
        <w:tc>
          <w:tcPr>
            <w:tcW w:w="3564" w:type="dxa"/>
            <w:tcBorders>
              <w:left w:val="single" w:sz="12" w:space="0" w:color="auto"/>
            </w:tcBorders>
            <w:vAlign w:val="center"/>
          </w:tcPr>
          <w:p w14:paraId="4129173A" w14:textId="756DB9EB" w:rsidR="00A85FC2" w:rsidRDefault="00A85FC2" w:rsidP="00AA656F">
            <w:pPr>
              <w:spacing w:after="0"/>
              <w:jc w:val="center"/>
            </w:pPr>
            <w:r>
              <w:t>c.le.d</w:t>
            </w:r>
          </w:p>
        </w:tc>
      </w:tr>
    </w:tbl>
    <w:p w14:paraId="3163EFEB" w14:textId="77777777" w:rsidR="00774895" w:rsidRDefault="00774895" w:rsidP="001B5593"/>
    <w:p w14:paraId="26ABC91B" w14:textId="77777777" w:rsidR="003139C9" w:rsidRDefault="003139C9" w:rsidP="001B5593"/>
    <w:p w14:paraId="274EEA6D" w14:textId="77777777" w:rsidR="003139C9" w:rsidRDefault="003139C9" w:rsidP="001B5593"/>
    <w:p w14:paraId="1984145E" w14:textId="77777777" w:rsidR="003139C9" w:rsidRDefault="003139C9" w:rsidP="001B5593"/>
    <w:p w14:paraId="7B0E1989" w14:textId="77777777" w:rsidR="003139C9" w:rsidRDefault="003139C9" w:rsidP="001B5593"/>
    <w:p w14:paraId="66F6903B" w14:textId="77777777" w:rsidR="003139C9" w:rsidRDefault="003139C9" w:rsidP="001B5593"/>
    <w:p w14:paraId="1C082431" w14:textId="77777777" w:rsidR="003139C9" w:rsidRDefault="003139C9" w:rsidP="001B5593"/>
    <w:p w14:paraId="1FF7D41B" w14:textId="77777777" w:rsidR="00A55DAA" w:rsidRDefault="00B67440" w:rsidP="00422B00">
      <w:r w:rsidRPr="00B67440">
        <w:rPr>
          <w:b/>
        </w:rPr>
        <w:lastRenderedPageBreak/>
        <w:t>2.4 Visualizing Floats</w:t>
      </w:r>
    </w:p>
    <w:p w14:paraId="17DF3C4E" w14:textId="6D0B996F" w:rsidR="009E2A89" w:rsidRDefault="00B67440" w:rsidP="00422B00">
      <w:r>
        <w:t>MARS provides several tools to help visualize floating</w:t>
      </w:r>
      <w:r w:rsidR="00AC2AD5">
        <w:t>-</w:t>
      </w:r>
      <w:r>
        <w:t>point values.</w:t>
      </w:r>
      <w:r w:rsidR="005C59B9">
        <w:t xml:space="preserve"> </w:t>
      </w:r>
      <w:r w:rsidR="00A86241">
        <w:t xml:space="preserve"> The </w:t>
      </w:r>
      <w:r w:rsidR="00C969E6">
        <w:t>“</w:t>
      </w:r>
      <w:r w:rsidR="00A86241" w:rsidRPr="003F073D">
        <w:rPr>
          <w:i/>
        </w:rPr>
        <w:t>Co</w:t>
      </w:r>
      <w:r w:rsidR="0062733C" w:rsidRPr="003F073D">
        <w:rPr>
          <w:i/>
        </w:rPr>
        <w:t>p</w:t>
      </w:r>
      <w:r w:rsidR="00A86241" w:rsidRPr="003F073D">
        <w:rPr>
          <w:i/>
        </w:rPr>
        <w:t>roc1</w:t>
      </w:r>
      <w:r w:rsidR="00C969E6">
        <w:t>”</w:t>
      </w:r>
      <w:r w:rsidR="00A86241">
        <w:t xml:space="preserve"> tab </w:t>
      </w:r>
      <w:r w:rsidR="007906BE">
        <w:t>displays</w:t>
      </w:r>
      <w:r w:rsidR="00A86241">
        <w:t xml:space="preserve"> the values of </w:t>
      </w:r>
      <w:r w:rsidR="005C59B9">
        <w:t xml:space="preserve">the </w:t>
      </w:r>
      <w:r w:rsidR="00A86241" w:rsidRPr="005C59B9">
        <w:rPr>
          <w:b/>
        </w:rPr>
        <w:t>$f</w:t>
      </w:r>
      <w:r w:rsidR="005C59B9" w:rsidRPr="005C59B9">
        <w:rPr>
          <w:b/>
        </w:rPr>
        <w:t>X</w:t>
      </w:r>
      <w:r w:rsidR="009C4318">
        <w:t xml:space="preserve"> registers. </w:t>
      </w:r>
      <w:r w:rsidR="00B914AE">
        <w:t xml:space="preserve"> </w:t>
      </w:r>
      <w:r w:rsidR="006C36A6">
        <w:t xml:space="preserve">The first column shows the register name; the second column displays the value if it were interpreted as a </w:t>
      </w:r>
      <w:r w:rsidR="00AE2C8D">
        <w:t>single-precision</w:t>
      </w:r>
      <w:r w:rsidR="006C36A6">
        <w:t xml:space="preserve"> floating-point value; the third column displays the value if it were interpreted as a </w:t>
      </w:r>
      <w:r w:rsidR="00AE2C8D">
        <w:t>double-precision</w:t>
      </w:r>
      <w:r w:rsidR="006C36A6">
        <w:t xml:space="preserve"> floating-point value</w:t>
      </w:r>
      <w:r w:rsidR="00A86241">
        <w:t xml:space="preserve">. </w:t>
      </w:r>
      <w:r w:rsidR="00A11B1F">
        <w:t xml:space="preserve"> </w:t>
      </w:r>
      <w:r w:rsidR="00A86241">
        <w:t xml:space="preserve">MARS does not </w:t>
      </w:r>
      <w:r w:rsidR="00057F93">
        <w:t xml:space="preserve">know </w:t>
      </w:r>
      <w:r w:rsidR="007C367C">
        <w:t>if</w:t>
      </w:r>
      <w:r w:rsidR="00A86241">
        <w:t xml:space="preserve"> the value</w:t>
      </w:r>
      <w:r w:rsidR="00195478">
        <w:t xml:space="preserve">s in the </w:t>
      </w:r>
      <w:r w:rsidR="00195478" w:rsidRPr="00195478">
        <w:rPr>
          <w:b/>
        </w:rPr>
        <w:t>$fX</w:t>
      </w:r>
      <w:r w:rsidR="00195478">
        <w:t xml:space="preserve"> </w:t>
      </w:r>
      <w:r w:rsidR="00237035">
        <w:t xml:space="preserve">registers </w:t>
      </w:r>
      <w:r w:rsidR="004539EF">
        <w:t>are</w:t>
      </w:r>
      <w:r w:rsidR="00A86241">
        <w:t xml:space="preserve"> 32</w:t>
      </w:r>
      <w:r w:rsidR="0077085E">
        <w:t xml:space="preserve"> </w:t>
      </w:r>
      <w:r w:rsidR="00A86241">
        <w:t>bit or 64</w:t>
      </w:r>
      <w:r w:rsidR="0077085E">
        <w:t xml:space="preserve"> bit value</w:t>
      </w:r>
      <w:r w:rsidR="00A86241">
        <w:t xml:space="preserve"> and </w:t>
      </w:r>
      <w:r w:rsidR="00E70D7C">
        <w:t>thus</w:t>
      </w:r>
      <w:r w:rsidR="00E42C33">
        <w:t xml:space="preserve"> </w:t>
      </w:r>
      <w:r w:rsidR="005C48FF">
        <w:t>interprets the register values in</w:t>
      </w:r>
      <w:r w:rsidR="00A86241">
        <w:t xml:space="preserve"> both forms.</w:t>
      </w:r>
      <w:r w:rsidR="000A4CFD">
        <w:t xml:space="preserve"> </w:t>
      </w:r>
      <w:r w:rsidR="00AB0F31">
        <w:t xml:space="preserve"> </w:t>
      </w:r>
      <w:r w:rsidR="004E09CE">
        <w:t xml:space="preserve">As mentioned earlier, </w:t>
      </w:r>
      <w:r w:rsidR="00AE2C8D">
        <w:t>double-precision</w:t>
      </w:r>
      <w:r w:rsidR="004E09CE">
        <w:t xml:space="preserve"> values </w:t>
      </w:r>
      <w:r w:rsidR="00AF6711">
        <w:t xml:space="preserve">require two 32-bit registers and </w:t>
      </w:r>
      <w:r w:rsidR="004E09CE">
        <w:t xml:space="preserve">are stored in even numbered </w:t>
      </w:r>
      <w:r w:rsidR="004E09CE" w:rsidRPr="004D3A82">
        <w:rPr>
          <w:b/>
        </w:rPr>
        <w:t>$f</w:t>
      </w:r>
      <w:r w:rsidR="004D3A82" w:rsidRPr="004D3A82">
        <w:rPr>
          <w:b/>
        </w:rPr>
        <w:t>X</w:t>
      </w:r>
      <w:r w:rsidR="004E09CE">
        <w:t xml:space="preserve"> registers.  </w:t>
      </w:r>
      <w:r w:rsidR="006362B8">
        <w:t xml:space="preserve">Therefore, MARS does not provide an interpretation for </w:t>
      </w:r>
      <w:r w:rsidR="00AE2C8D">
        <w:t>double-precision</w:t>
      </w:r>
      <w:r w:rsidR="006362B8">
        <w:t xml:space="preserve"> values </w:t>
      </w:r>
      <w:r w:rsidR="009F590D">
        <w:t xml:space="preserve">in the odd numbered </w:t>
      </w:r>
      <w:r w:rsidR="009F590D" w:rsidRPr="003B6580">
        <w:rPr>
          <w:b/>
        </w:rPr>
        <w:t>$f</w:t>
      </w:r>
      <w:r w:rsidR="003B6580" w:rsidRPr="003B6580">
        <w:rPr>
          <w:b/>
        </w:rPr>
        <w:t>X</w:t>
      </w:r>
      <w:r w:rsidR="009F590D">
        <w:t xml:space="preserve"> registers.</w:t>
      </w:r>
      <w:r w:rsidR="00800C1D">
        <w:t xml:space="preserve"> </w:t>
      </w:r>
      <w:r w:rsidR="00C834A5">
        <w:t xml:space="preserve"> </w:t>
      </w:r>
      <w:r w:rsidR="006A6E27">
        <w:fldChar w:fldCharType="begin"/>
      </w:r>
      <w:r w:rsidR="006A6E27">
        <w:instrText xml:space="preserve"> REF _Ref477724406 \h </w:instrText>
      </w:r>
      <w:r w:rsidR="006A6E27">
        <w:fldChar w:fldCharType="separate"/>
      </w:r>
      <w:r w:rsidR="006A6E27" w:rsidRPr="00A86241">
        <w:rPr>
          <w:color w:val="000000" w:themeColor="text1"/>
        </w:rPr>
        <w:t xml:space="preserve">Figure </w:t>
      </w:r>
      <w:r w:rsidR="006A6E27" w:rsidRPr="00A86241">
        <w:rPr>
          <w:noProof/>
          <w:color w:val="000000" w:themeColor="text1"/>
        </w:rPr>
        <w:t>1</w:t>
      </w:r>
      <w:r w:rsidR="006A6E27">
        <w:fldChar w:fldCharType="end"/>
      </w:r>
      <w:r w:rsidR="002978D0">
        <w:t xml:space="preserve"> shows </w:t>
      </w:r>
      <w:r w:rsidR="003E17D4">
        <w:t xml:space="preserve">the “Coproc1” tab in the MARS simulator and </w:t>
      </w:r>
      <w:r w:rsidR="00157DB5">
        <w:t>the simulator’s</w:t>
      </w:r>
      <w:r w:rsidR="003E17D4">
        <w:t xml:space="preserve"> interpretation of the contents of the </w:t>
      </w:r>
      <w:r w:rsidR="003E17D4" w:rsidRPr="00161495">
        <w:rPr>
          <w:b/>
        </w:rPr>
        <w:t>$f</w:t>
      </w:r>
      <w:r w:rsidR="00161495" w:rsidRPr="00161495">
        <w:rPr>
          <w:b/>
        </w:rPr>
        <w:t>X</w:t>
      </w:r>
      <w:r w:rsidR="003E17D4">
        <w:t xml:space="preserve"> registers.</w:t>
      </w:r>
      <w:r w:rsidR="00DF0E31">
        <w:t xml:space="preserve"> </w:t>
      </w:r>
      <w:r w:rsidR="001274BB">
        <w:t xml:space="preserve"> </w:t>
      </w:r>
      <w:r w:rsidR="002A17AF">
        <w:t xml:space="preserve">In the example in </w:t>
      </w:r>
      <w:r w:rsidR="002A17AF">
        <w:fldChar w:fldCharType="begin"/>
      </w:r>
      <w:r w:rsidR="002A17AF">
        <w:instrText xml:space="preserve"> REF _Ref477724406 \h </w:instrText>
      </w:r>
      <w:r w:rsidR="002A17AF">
        <w:fldChar w:fldCharType="separate"/>
      </w:r>
      <w:r w:rsidR="002A17AF" w:rsidRPr="00A86241">
        <w:rPr>
          <w:color w:val="000000" w:themeColor="text1"/>
        </w:rPr>
        <w:t xml:space="preserve">Figure </w:t>
      </w:r>
      <w:r w:rsidR="002A17AF" w:rsidRPr="00A86241">
        <w:rPr>
          <w:noProof/>
          <w:color w:val="000000" w:themeColor="text1"/>
        </w:rPr>
        <w:t>1</w:t>
      </w:r>
      <w:r w:rsidR="002A17AF">
        <w:fldChar w:fldCharType="end"/>
      </w:r>
      <w:r w:rsidR="002A17AF">
        <w:t xml:space="preserve">, </w:t>
      </w:r>
      <w:r w:rsidR="00391434">
        <w:t xml:space="preserve">registers </w:t>
      </w:r>
      <w:r w:rsidR="00391434" w:rsidRPr="00344E9A">
        <w:rPr>
          <w:b/>
        </w:rPr>
        <w:t>$f0</w:t>
      </w:r>
      <w:r w:rsidR="00391434">
        <w:t xml:space="preserve"> and </w:t>
      </w:r>
      <w:r w:rsidR="00391434" w:rsidRPr="00344E9A">
        <w:rPr>
          <w:b/>
        </w:rPr>
        <w:t>$f1</w:t>
      </w:r>
      <w:r w:rsidR="00391434">
        <w:t xml:space="preserve"> can be interpreted as containing the </w:t>
      </w:r>
      <w:r w:rsidR="00AE2C8D">
        <w:t>single-precision</w:t>
      </w:r>
      <w:r w:rsidR="00391434">
        <w:t xml:space="preserve"> values </w:t>
      </w:r>
      <w:r w:rsidR="00643305">
        <w:t xml:space="preserve">-99.689 and -123.123. </w:t>
      </w:r>
      <w:r w:rsidR="00923128">
        <w:t xml:space="preserve"> </w:t>
      </w:r>
      <w:r w:rsidR="001D690A">
        <w:t xml:space="preserve">Using the same register contents, register </w:t>
      </w:r>
      <w:r w:rsidR="001D690A" w:rsidRPr="009B7E09">
        <w:rPr>
          <w:b/>
        </w:rPr>
        <w:t>$f0</w:t>
      </w:r>
      <w:r w:rsidR="001D690A">
        <w:t xml:space="preserve"> can be interpreted to contain the </w:t>
      </w:r>
      <w:r w:rsidR="00AE2C8D">
        <w:t>double-precision</w:t>
      </w:r>
      <w:r w:rsidR="001D690A">
        <w:t xml:space="preserve"> value -3.913560136391803E14</w:t>
      </w:r>
      <w:r w:rsidR="00C60CAB">
        <w:t xml:space="preserve">. </w:t>
      </w:r>
      <w:r w:rsidR="00845255">
        <w:t xml:space="preserve"> </w:t>
      </w:r>
      <w:r w:rsidR="00662846">
        <w:t xml:space="preserve">Register </w:t>
      </w:r>
      <w:r w:rsidR="00662846" w:rsidRPr="00845255">
        <w:rPr>
          <w:b/>
        </w:rPr>
        <w:t>$f1</w:t>
      </w:r>
      <w:r w:rsidR="00662846">
        <w:t xml:space="preserve"> cannot </w:t>
      </w:r>
      <w:r w:rsidR="00115C80">
        <w:t xml:space="preserve">be interpreted to contain a </w:t>
      </w:r>
      <w:r w:rsidR="00AE2C8D">
        <w:t>double-precision</w:t>
      </w:r>
      <w:r w:rsidR="00115C80">
        <w:t xml:space="preserve"> value. </w:t>
      </w:r>
      <w:r w:rsidR="00323839">
        <w:t xml:space="preserve"> </w:t>
      </w:r>
      <w:r w:rsidR="00115C80">
        <w:t xml:space="preserve">Attempting to store a </w:t>
      </w:r>
      <w:r w:rsidR="00AE2C8D">
        <w:t>double-precision</w:t>
      </w:r>
      <w:r w:rsidR="00115C80">
        <w:t xml:space="preserve"> value in an odd numbered </w:t>
      </w:r>
      <w:r w:rsidR="00115C80" w:rsidRPr="00323839">
        <w:rPr>
          <w:b/>
        </w:rPr>
        <w:t>$f</w:t>
      </w:r>
      <w:r w:rsidR="00323839" w:rsidRPr="00323839">
        <w:rPr>
          <w:b/>
        </w:rPr>
        <w:t>X</w:t>
      </w:r>
      <w:r w:rsidR="00115C80">
        <w:t xml:space="preserve"> register will result in an error.</w:t>
      </w:r>
    </w:p>
    <w:p w14:paraId="5BE26334" w14:textId="45FE7EF2" w:rsidR="00A86241" w:rsidRDefault="00A86241" w:rsidP="00B10C8E">
      <w:pPr>
        <w:jc w:val="center"/>
      </w:pPr>
      <w:r>
        <w:rPr>
          <w:noProof/>
        </w:rPr>
        <w:drawing>
          <wp:inline distT="0" distB="0" distL="0" distR="0" wp14:anchorId="083C82CD" wp14:editId="1C35D6E7">
            <wp:extent cx="4290332" cy="27980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332" cy="2798043"/>
                    </a:xfrm>
                    <a:prstGeom prst="rect">
                      <a:avLst/>
                    </a:prstGeom>
                  </pic:spPr>
                </pic:pic>
              </a:graphicData>
            </a:graphic>
          </wp:inline>
        </w:drawing>
      </w:r>
    </w:p>
    <w:p w14:paraId="44A2C5AE" w14:textId="4596B0ED" w:rsidR="00B67440" w:rsidRPr="00A86241" w:rsidRDefault="00A86241" w:rsidP="001671B4">
      <w:pPr>
        <w:pStyle w:val="Caption"/>
        <w:jc w:val="center"/>
        <w:outlineLvl w:val="0"/>
        <w:rPr>
          <w:color w:val="000000" w:themeColor="text1"/>
        </w:rPr>
      </w:pPr>
      <w:bookmarkStart w:id="0" w:name="_Ref477724406"/>
      <w:r w:rsidRPr="00A86241">
        <w:rPr>
          <w:color w:val="000000" w:themeColor="text1"/>
        </w:rPr>
        <w:t xml:space="preserve">Figure </w:t>
      </w:r>
      <w:r w:rsidRPr="00A86241">
        <w:rPr>
          <w:color w:val="000000" w:themeColor="text1"/>
        </w:rPr>
        <w:fldChar w:fldCharType="begin"/>
      </w:r>
      <w:r w:rsidRPr="00A86241">
        <w:rPr>
          <w:color w:val="000000" w:themeColor="text1"/>
        </w:rPr>
        <w:instrText xml:space="preserve"> SEQ Figure \* ARABIC </w:instrText>
      </w:r>
      <w:r w:rsidRPr="00A86241">
        <w:rPr>
          <w:color w:val="000000" w:themeColor="text1"/>
        </w:rPr>
        <w:fldChar w:fldCharType="separate"/>
      </w:r>
      <w:r w:rsidRPr="00A86241">
        <w:rPr>
          <w:noProof/>
          <w:color w:val="000000" w:themeColor="text1"/>
        </w:rPr>
        <w:t>1</w:t>
      </w:r>
      <w:r w:rsidRPr="00A86241">
        <w:rPr>
          <w:color w:val="000000" w:themeColor="text1"/>
        </w:rPr>
        <w:fldChar w:fldCharType="end"/>
      </w:r>
      <w:bookmarkEnd w:id="0"/>
      <w:r w:rsidR="00F23625">
        <w:rPr>
          <w:color w:val="000000" w:themeColor="text1"/>
        </w:rPr>
        <w:t>:</w:t>
      </w:r>
      <w:r w:rsidRPr="00A86241">
        <w:rPr>
          <w:noProof/>
          <w:color w:val="000000" w:themeColor="text1"/>
        </w:rPr>
        <w:t xml:space="preserve"> Visualizing floating</w:t>
      </w:r>
      <w:r w:rsidR="0095668B">
        <w:rPr>
          <w:noProof/>
          <w:color w:val="000000" w:themeColor="text1"/>
        </w:rPr>
        <w:t>-</w:t>
      </w:r>
      <w:r w:rsidRPr="00A86241">
        <w:rPr>
          <w:noProof/>
          <w:color w:val="000000" w:themeColor="text1"/>
        </w:rPr>
        <w:t>point values in MARS</w:t>
      </w:r>
    </w:p>
    <w:p w14:paraId="7461741C" w14:textId="19D638DB" w:rsidR="00F33D0B" w:rsidRDefault="00F33D0B" w:rsidP="00511FE3">
      <w:pPr>
        <w:rPr>
          <w:b/>
        </w:rPr>
      </w:pPr>
      <w:r w:rsidRPr="00F33D0B">
        <w:rPr>
          <w:b/>
        </w:rPr>
        <w:t>3. Procedure</w:t>
      </w:r>
    </w:p>
    <w:p w14:paraId="5B948139" w14:textId="614EA8CB" w:rsidR="00D53D66" w:rsidRDefault="00532A30" w:rsidP="00511FE3">
      <w:r>
        <w:t xml:space="preserve">This lab has multiple parts.  For each part, write your code in the specified file (all of the required .asm files are in the </w:t>
      </w:r>
      <w:r w:rsidRPr="00063BD8">
        <w:rPr>
          <w:b/>
          <w:i/>
        </w:rPr>
        <w:t xml:space="preserve">src </w:t>
      </w:r>
      <w:r w:rsidRPr="002B733B">
        <w:rPr>
          <w:b/>
        </w:rPr>
        <w:t>directory</w:t>
      </w:r>
      <w:r>
        <w:t>).  Writing your code in the wrong file will cause problems when you test your code.</w:t>
      </w:r>
    </w:p>
    <w:p w14:paraId="372A82C4" w14:textId="788889C7" w:rsidR="006540CB" w:rsidRDefault="00414FC4" w:rsidP="001671B4">
      <w:pPr>
        <w:outlineLvl w:val="0"/>
        <w:rPr>
          <w:b/>
        </w:rPr>
      </w:pPr>
      <w:r>
        <w:rPr>
          <w:b/>
        </w:rPr>
        <w:t>3.1</w:t>
      </w:r>
      <w:r w:rsidR="006540CB" w:rsidRPr="006540CB">
        <w:rPr>
          <w:b/>
        </w:rPr>
        <w:t xml:space="preserve"> Loading and Adding Single and Double Floats</w:t>
      </w:r>
    </w:p>
    <w:p w14:paraId="53C314D3" w14:textId="00F20942" w:rsidR="004A336F" w:rsidRDefault="004A336F" w:rsidP="00511FE3">
      <w:r>
        <w:t>In this section</w:t>
      </w:r>
      <w:r w:rsidR="00946F29">
        <w:t>,</w:t>
      </w:r>
      <w:r>
        <w:t xml:space="preserve"> you will load two lists</w:t>
      </w:r>
      <w:r w:rsidR="00E2398D">
        <w:t xml:space="preserve"> of</w:t>
      </w:r>
      <w:r>
        <w:t xml:space="preserve"> floating</w:t>
      </w:r>
      <w:r w:rsidR="00E81163">
        <w:t>-</w:t>
      </w:r>
      <w:r>
        <w:t xml:space="preserve">point values into memory and </w:t>
      </w:r>
      <w:r w:rsidR="00A77F4B">
        <w:t xml:space="preserve">perform arithmetic </w:t>
      </w:r>
      <w:r>
        <w:t>calculat</w:t>
      </w:r>
      <w:r w:rsidR="000F1029">
        <w:t>ions</w:t>
      </w:r>
      <w:r>
        <w:t xml:space="preserve"> </w:t>
      </w:r>
      <w:r w:rsidR="000F1029">
        <w:t xml:space="preserve">on </w:t>
      </w:r>
      <w:r>
        <w:t xml:space="preserve">their </w:t>
      </w:r>
      <w:r w:rsidR="000F1029">
        <w:t>contents</w:t>
      </w:r>
      <w:r>
        <w:t xml:space="preserve">. </w:t>
      </w:r>
      <w:r w:rsidR="00CC559D">
        <w:t xml:space="preserve"> </w:t>
      </w:r>
      <w:r w:rsidR="0028098F">
        <w:t>Prior to performing any calculations, y</w:t>
      </w:r>
      <w:r>
        <w:t>ou will need to load value</w:t>
      </w:r>
      <w:r w:rsidR="00411193">
        <w:t>s</w:t>
      </w:r>
      <w:r>
        <w:t xml:space="preserve"> from memory into a floating</w:t>
      </w:r>
      <w:r w:rsidR="003E7DDB">
        <w:t>-</w:t>
      </w:r>
      <w:r>
        <w:t>point register</w:t>
      </w:r>
      <w:r w:rsidR="0036039C">
        <w:t>s</w:t>
      </w:r>
      <w:r w:rsidR="00BF4E2F">
        <w:t>.</w:t>
      </w:r>
      <w:r w:rsidR="00FB3069">
        <w:t xml:space="preserve">  </w:t>
      </w:r>
      <w:r w:rsidR="00FB3069" w:rsidRPr="006556A7">
        <w:rPr>
          <w:b/>
        </w:rPr>
        <w:t>You do NOT need to write any procedures for this part</w:t>
      </w:r>
      <w:r w:rsidR="00FB3069">
        <w:t>.</w:t>
      </w:r>
    </w:p>
    <w:p w14:paraId="3804638F" w14:textId="77777777" w:rsidR="000E0F19" w:rsidRPr="002C20CB" w:rsidRDefault="000E0F19" w:rsidP="000E0F19">
      <w:pPr>
        <w:widowControl w:val="0"/>
        <w:spacing w:line="240" w:lineRule="auto"/>
      </w:pPr>
      <w:r>
        <w:rPr>
          <w:b/>
        </w:rPr>
        <w:t>Programming Tasks</w:t>
      </w:r>
    </w:p>
    <w:p w14:paraId="1B6C3606" w14:textId="69E1A4FE" w:rsidR="000E0F19" w:rsidRDefault="00791D99" w:rsidP="00791D99">
      <w:pPr>
        <w:widowControl w:val="0"/>
        <w:spacing w:line="240" w:lineRule="auto"/>
      </w:pPr>
      <w:r>
        <w:t xml:space="preserve">1) </w:t>
      </w:r>
      <w:r w:rsidR="000E0F19">
        <w:t xml:space="preserve">Open the file called </w:t>
      </w:r>
      <w:r w:rsidR="000E0F19" w:rsidRPr="00791D99">
        <w:rPr>
          <w:u w:val="single"/>
        </w:rPr>
        <w:t>lab0</w:t>
      </w:r>
      <w:r w:rsidR="00D06C07" w:rsidRPr="00791D99">
        <w:rPr>
          <w:u w:val="single"/>
        </w:rPr>
        <w:t>7</w:t>
      </w:r>
      <w:r w:rsidR="000E0F19" w:rsidRPr="00791D99">
        <w:rPr>
          <w:u w:val="single"/>
        </w:rPr>
        <w:t>_part1.asm</w:t>
      </w:r>
      <w:r w:rsidR="000E0F19">
        <w:t xml:space="preserve"> in the MARS Editor.</w:t>
      </w:r>
      <w:r w:rsidR="000B6183">
        <w:t xml:space="preserve">  Read the MARS help file (press F1) and identify the two directives that are used to create lists of single- and double-precision values.</w:t>
      </w:r>
      <w:r w:rsidR="00521D83">
        <w:t xml:space="preserve">  You can find the list of directives that MARS supports under the “Directives”</w:t>
      </w:r>
      <w:r w:rsidR="008501F3">
        <w:t xml:space="preserve"> tab as shown in Figure 2.</w:t>
      </w:r>
    </w:p>
    <w:p w14:paraId="04331DA1" w14:textId="77777777" w:rsidR="000E0F19" w:rsidRPr="004A336F" w:rsidRDefault="000E0F19" w:rsidP="00511FE3"/>
    <w:p w14:paraId="45C799A5" w14:textId="0C29807D" w:rsidR="005C011A" w:rsidRPr="00A86241" w:rsidRDefault="00B67440" w:rsidP="005C011A">
      <w:pPr>
        <w:pStyle w:val="Caption"/>
        <w:jc w:val="center"/>
        <w:outlineLvl w:val="0"/>
        <w:rPr>
          <w:color w:val="000000" w:themeColor="text1"/>
        </w:rPr>
      </w:pPr>
      <w:r>
        <w:rPr>
          <w:noProof/>
        </w:rPr>
        <w:lastRenderedPageBreak/>
        <w:drawing>
          <wp:inline distT="0" distB="0" distL="0" distR="0" wp14:anchorId="0C618EDE" wp14:editId="788A17E3">
            <wp:extent cx="5162550" cy="1470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2058" cy="1475830"/>
                    </a:xfrm>
                    <a:prstGeom prst="rect">
                      <a:avLst/>
                    </a:prstGeom>
                    <a:noFill/>
                  </pic:spPr>
                </pic:pic>
              </a:graphicData>
            </a:graphic>
          </wp:inline>
        </w:drawing>
      </w:r>
      <w:r w:rsidR="00806837">
        <w:br/>
      </w:r>
      <w:r w:rsidR="005C011A" w:rsidRPr="00A86241">
        <w:rPr>
          <w:color w:val="000000" w:themeColor="text1"/>
        </w:rPr>
        <w:t xml:space="preserve">Figure </w:t>
      </w:r>
      <w:r w:rsidR="005C011A">
        <w:rPr>
          <w:color w:val="000000" w:themeColor="text1"/>
        </w:rPr>
        <w:t>2</w:t>
      </w:r>
      <w:r w:rsidR="00F23625">
        <w:rPr>
          <w:color w:val="000000" w:themeColor="text1"/>
        </w:rPr>
        <w:t>:</w:t>
      </w:r>
      <w:r w:rsidR="005C011A" w:rsidRPr="00A86241">
        <w:rPr>
          <w:noProof/>
          <w:color w:val="000000" w:themeColor="text1"/>
        </w:rPr>
        <w:t xml:space="preserve"> </w:t>
      </w:r>
      <w:r w:rsidR="000B22AD">
        <w:rPr>
          <w:noProof/>
          <w:color w:val="000000" w:themeColor="text1"/>
        </w:rPr>
        <w:t xml:space="preserve">The “Directives” tab in the MARS Help </w:t>
      </w:r>
      <w:r w:rsidR="002267A0">
        <w:rPr>
          <w:noProof/>
          <w:color w:val="000000" w:themeColor="text1"/>
        </w:rPr>
        <w:t>file</w:t>
      </w:r>
    </w:p>
    <w:p w14:paraId="6E12AE63" w14:textId="77777777" w:rsidR="00B63CEB" w:rsidRDefault="00B63CEB" w:rsidP="004368FD">
      <w:pPr>
        <w:jc w:val="center"/>
      </w:pPr>
    </w:p>
    <w:p w14:paraId="3492B177" w14:textId="5F3C2612" w:rsidR="00AB6CB6" w:rsidRDefault="00806837" w:rsidP="00511FE3">
      <w:r>
        <w:t xml:space="preserve">2) </w:t>
      </w:r>
      <w:r w:rsidR="00CD3DC0">
        <w:t>In the</w:t>
      </w:r>
      <w:r w:rsidR="003E3176">
        <w:t xml:space="preserve"> </w:t>
      </w:r>
      <w:r w:rsidR="003E3176" w:rsidRPr="002E73B6">
        <w:rPr>
          <w:i/>
        </w:rPr>
        <w:t>.data</w:t>
      </w:r>
      <w:r w:rsidR="003E3176">
        <w:t xml:space="preserve"> segment</w:t>
      </w:r>
      <w:r w:rsidR="005828D2">
        <w:t>,</w:t>
      </w:r>
      <w:r w:rsidR="00AD0403">
        <w:t xml:space="preserve"> </w:t>
      </w:r>
      <w:r w:rsidR="00452BFC">
        <w:t xml:space="preserve">create </w:t>
      </w:r>
      <w:r w:rsidR="007D223D">
        <w:t>an</w:t>
      </w:r>
      <w:r w:rsidR="00452BFC">
        <w:t xml:space="preserve"> array </w:t>
      </w:r>
      <w:r w:rsidR="006257AA">
        <w:t xml:space="preserve">called </w:t>
      </w:r>
      <w:r w:rsidR="001418DE">
        <w:t>“</w:t>
      </w:r>
      <w:r w:rsidR="00866576" w:rsidRPr="001418DE">
        <w:rPr>
          <w:i/>
        </w:rPr>
        <w:t>singles</w:t>
      </w:r>
      <w:r w:rsidR="001418DE">
        <w:t>”</w:t>
      </w:r>
      <w:r w:rsidR="00866576">
        <w:t xml:space="preserve"> </w:t>
      </w:r>
      <w:r w:rsidR="00B20192">
        <w:t xml:space="preserve">that contains </w:t>
      </w:r>
      <w:r w:rsidR="001930C7">
        <w:t xml:space="preserve">the </w:t>
      </w:r>
      <w:r w:rsidR="00DE5C8C">
        <w:t xml:space="preserve">single-precision </w:t>
      </w:r>
      <w:r w:rsidR="00D06B2A">
        <w:t xml:space="preserve">floating-point values </w:t>
      </w:r>
      <w:r w:rsidR="00714AEB">
        <w:t>show</w:t>
      </w:r>
      <w:r w:rsidR="00E3440B">
        <w:t>n</w:t>
      </w:r>
      <w:r w:rsidR="00714AEB">
        <w:t xml:space="preserve"> </w:t>
      </w:r>
      <w:r w:rsidR="003765EC">
        <w:t>here</w:t>
      </w:r>
      <w:r w:rsidR="00714AEB">
        <w:t>:</w:t>
      </w:r>
      <w:r w:rsidR="00871C7D">
        <w:t xml:space="preserve"> </w:t>
      </w:r>
      <w:r w:rsidR="00E676CE">
        <w:t xml:space="preserve"> </w:t>
      </w:r>
      <w:r w:rsidR="00AC067C" w:rsidRPr="00AC067C">
        <w:t>1.4563, 2.4564, -4.2342, 65.334</w:t>
      </w:r>
      <w:r w:rsidR="00B032A2">
        <w:t xml:space="preserve">.  </w:t>
      </w:r>
      <w:r w:rsidR="00032600">
        <w:t xml:space="preserve">Immediately after that, create a second array </w:t>
      </w:r>
      <w:r w:rsidR="00D83772">
        <w:t>called “</w:t>
      </w:r>
      <w:r w:rsidR="00D83772" w:rsidRPr="00D83772">
        <w:rPr>
          <w:i/>
        </w:rPr>
        <w:t>doubles</w:t>
      </w:r>
      <w:r w:rsidR="00D83772">
        <w:t xml:space="preserve">” </w:t>
      </w:r>
      <w:r w:rsidR="00397198">
        <w:t xml:space="preserve">that contains </w:t>
      </w:r>
      <w:r w:rsidR="00E3440B">
        <w:t>the double-precision floating-point values shown here:</w:t>
      </w:r>
      <w:r w:rsidR="00284F88">
        <w:t xml:space="preserve">  </w:t>
      </w:r>
      <w:r w:rsidR="00284F88" w:rsidRPr="00AC067C">
        <w:t>1.4563, 2.4564, -4.2342, 65.334</w:t>
      </w:r>
      <w:r w:rsidR="0053349E">
        <w:t xml:space="preserve"> (yes, they are the same values as “</w:t>
      </w:r>
      <w:r w:rsidR="0053349E" w:rsidRPr="00AD3DA5">
        <w:rPr>
          <w:i/>
        </w:rPr>
        <w:t>singles</w:t>
      </w:r>
      <w:r w:rsidR="0053349E">
        <w:t>”).</w:t>
      </w:r>
      <w:r w:rsidR="00EB4619">
        <w:t xml:space="preserve">  Use the appropriate directives, as identified in part 1, to </w:t>
      </w:r>
      <w:r w:rsidR="006214B6">
        <w:t>create these array</w:t>
      </w:r>
      <w:r w:rsidR="00F935C4">
        <w:t>s</w:t>
      </w:r>
      <w:r w:rsidR="006214B6">
        <w:t>.</w:t>
      </w:r>
    </w:p>
    <w:p w14:paraId="6A272A1F" w14:textId="19FD80DF" w:rsidR="0025024D" w:rsidRDefault="00FB7592" w:rsidP="004E28D9">
      <w:pPr>
        <w:tabs>
          <w:tab w:val="left" w:pos="360"/>
        </w:tabs>
      </w:pPr>
      <w:r>
        <w:t>3</w:t>
      </w:r>
      <w:r w:rsidR="0051620A">
        <w:t xml:space="preserve">) </w:t>
      </w:r>
      <w:r w:rsidR="001D1046">
        <w:t>Under the “</w:t>
      </w:r>
      <w:r w:rsidRPr="001D1046">
        <w:rPr>
          <w:i/>
        </w:rPr>
        <w:t>doSingles</w:t>
      </w:r>
      <w:r w:rsidR="001D1046">
        <w:t xml:space="preserve">” </w:t>
      </w:r>
      <w:r w:rsidR="00E073EB">
        <w:t xml:space="preserve">label </w:t>
      </w:r>
      <w:r w:rsidR="001D1046">
        <w:t xml:space="preserve">in the </w:t>
      </w:r>
      <w:r w:rsidR="001D1046" w:rsidRPr="001D1046">
        <w:rPr>
          <w:i/>
        </w:rPr>
        <w:t>.text</w:t>
      </w:r>
      <w:r w:rsidR="001D1046">
        <w:t xml:space="preserve"> section</w:t>
      </w:r>
      <w:r w:rsidR="0030501F">
        <w:t xml:space="preserve">, </w:t>
      </w:r>
      <w:r w:rsidR="00F236D4">
        <w:t>perform the following computations</w:t>
      </w:r>
      <w:r w:rsidR="00D37779">
        <w:t>:</w:t>
      </w:r>
      <w:r w:rsidR="009C6A0B">
        <w:br/>
      </w:r>
      <w:r w:rsidR="00BB7870">
        <w:tab/>
        <w:t xml:space="preserve">a) </w:t>
      </w:r>
      <w:r w:rsidR="00BB7870" w:rsidRPr="00A93DB5">
        <w:rPr>
          <w:i/>
        </w:rPr>
        <w:t>singles</w:t>
      </w:r>
      <w:r w:rsidR="00BB7870" w:rsidRPr="00DC017F">
        <w:t xml:space="preserve">[0] + </w:t>
      </w:r>
      <w:r w:rsidR="00BB7870" w:rsidRPr="00A93DB5">
        <w:rPr>
          <w:i/>
        </w:rPr>
        <w:t>singles</w:t>
      </w:r>
      <w:r w:rsidR="00BB7870" w:rsidRPr="00DC017F">
        <w:t>[1]</w:t>
      </w:r>
      <w:r w:rsidR="00BB7870">
        <w:t xml:space="preserve">    </w:t>
      </w:r>
      <w:r w:rsidR="00BB7870" w:rsidRPr="00F8732B">
        <w:rPr>
          <w:b/>
        </w:rPr>
        <w:t>(put this result in $f4)</w:t>
      </w:r>
      <w:r w:rsidR="00BB7870">
        <w:br/>
      </w:r>
      <w:r w:rsidR="00BB7870">
        <w:tab/>
        <w:t xml:space="preserve">b) </w:t>
      </w:r>
      <w:r w:rsidR="00BB7870" w:rsidRPr="00A93DB5">
        <w:rPr>
          <w:i/>
        </w:rPr>
        <w:t>singles</w:t>
      </w:r>
      <w:r w:rsidR="00BB7870" w:rsidRPr="00DC017F">
        <w:t xml:space="preserve">[1] + </w:t>
      </w:r>
      <w:r w:rsidR="00BB7870" w:rsidRPr="00A93DB5">
        <w:rPr>
          <w:i/>
        </w:rPr>
        <w:t>singles</w:t>
      </w:r>
      <w:r w:rsidR="00BB7870" w:rsidRPr="00DC017F">
        <w:t>[2]</w:t>
      </w:r>
      <w:r w:rsidR="00BB7870">
        <w:t xml:space="preserve">    </w:t>
      </w:r>
      <w:r w:rsidR="00BB7870" w:rsidRPr="00F8732B">
        <w:rPr>
          <w:b/>
        </w:rPr>
        <w:t>(put this result in $f5)</w:t>
      </w:r>
      <w:r w:rsidR="00BB7870">
        <w:br/>
      </w:r>
      <w:r w:rsidR="00BB7870">
        <w:tab/>
        <w:t xml:space="preserve">c) </w:t>
      </w:r>
      <w:r w:rsidR="00BB7870" w:rsidRPr="00A93DB5">
        <w:rPr>
          <w:i/>
        </w:rPr>
        <w:t>singles</w:t>
      </w:r>
      <w:r w:rsidR="00BB7870" w:rsidRPr="00DC017F">
        <w:t xml:space="preserve">[2] + </w:t>
      </w:r>
      <w:r w:rsidR="00BB7870" w:rsidRPr="00A93DB5">
        <w:rPr>
          <w:i/>
        </w:rPr>
        <w:t>singles</w:t>
      </w:r>
      <w:r w:rsidR="00BB7870" w:rsidRPr="00DC017F">
        <w:t>[3]</w:t>
      </w:r>
      <w:r w:rsidR="00BB7870">
        <w:t xml:space="preserve">    </w:t>
      </w:r>
      <w:r w:rsidR="00BB7870" w:rsidRPr="00F8732B">
        <w:rPr>
          <w:b/>
        </w:rPr>
        <w:t>(put this result in $f6)</w:t>
      </w:r>
      <w:r w:rsidR="00161D13">
        <w:br/>
      </w:r>
      <w:r w:rsidR="00AE77BC">
        <w:t xml:space="preserve">Be sure to </w:t>
      </w:r>
      <w:r w:rsidR="00EB36D0">
        <w:t xml:space="preserve">load the </w:t>
      </w:r>
      <w:r w:rsidR="0090493E">
        <w:t xml:space="preserve">single-precision floating-point values </w:t>
      </w:r>
      <w:r w:rsidR="00271BA4">
        <w:t>from</w:t>
      </w:r>
      <w:r w:rsidR="0090493E">
        <w:t xml:space="preserve"> memory into </w:t>
      </w:r>
      <w:r w:rsidR="0090493E" w:rsidRPr="0090493E">
        <w:rPr>
          <w:b/>
        </w:rPr>
        <w:t>$fX</w:t>
      </w:r>
      <w:r w:rsidR="0090493E">
        <w:t xml:space="preserve"> registers</w:t>
      </w:r>
      <w:r w:rsidR="005E2561">
        <w:t xml:space="preserve"> using the appropriate load instruction</w:t>
      </w:r>
      <w:r w:rsidR="009D53DB">
        <w:t xml:space="preserve"> (see Table 1)</w:t>
      </w:r>
      <w:r w:rsidR="0090493E">
        <w:t>.</w:t>
      </w:r>
      <w:r w:rsidR="006D6F80">
        <w:t xml:space="preserve">  You cannot do floating-point arithmetic </w:t>
      </w:r>
      <w:r w:rsidR="008F4E01">
        <w:t xml:space="preserve">on values stored in </w:t>
      </w:r>
      <w:r w:rsidR="008F4E01" w:rsidRPr="008F4E01">
        <w:rPr>
          <w:b/>
        </w:rPr>
        <w:t>$sX</w:t>
      </w:r>
      <w:r w:rsidR="008F4E01">
        <w:t xml:space="preserve"> or </w:t>
      </w:r>
      <w:r w:rsidR="008F4E01" w:rsidRPr="008F4E01">
        <w:rPr>
          <w:b/>
        </w:rPr>
        <w:t>$tX</w:t>
      </w:r>
      <w:r w:rsidR="008F4E01">
        <w:t xml:space="preserve"> registers.</w:t>
      </w:r>
      <w:r w:rsidR="006818C8">
        <w:t xml:space="preserve">  </w:t>
      </w:r>
      <w:r w:rsidR="00275D28">
        <w:t>Use the “</w:t>
      </w:r>
      <w:r w:rsidR="003F073D" w:rsidRPr="003F073D">
        <w:rPr>
          <w:i/>
        </w:rPr>
        <w:t>Coproc1</w:t>
      </w:r>
      <w:r w:rsidR="00275D28">
        <w:t xml:space="preserve">” </w:t>
      </w:r>
      <w:r w:rsidR="003F073D">
        <w:t>tab in MARS</w:t>
      </w:r>
      <w:r w:rsidR="002716FD">
        <w:t xml:space="preserve"> to </w:t>
      </w:r>
      <w:r w:rsidR="00D078D8">
        <w:t xml:space="preserve">view your results </w:t>
      </w:r>
      <w:r w:rsidR="009D6F0E">
        <w:t xml:space="preserve">and </w:t>
      </w:r>
      <w:r w:rsidR="00EB3DD6">
        <w:t xml:space="preserve">then </w:t>
      </w:r>
      <w:r w:rsidR="009D6F0E">
        <w:t>fill in Table 3</w:t>
      </w:r>
      <w:r w:rsidR="00B30056">
        <w:t xml:space="preserve"> below.  </w:t>
      </w:r>
      <w:r w:rsidR="0014064A">
        <w:t xml:space="preserve">Are the results that you see in MARS the values that </w:t>
      </w:r>
      <w:r w:rsidR="00210742">
        <w:t>you expect?</w:t>
      </w:r>
    </w:p>
    <w:p w14:paraId="218D76DA" w14:textId="48CBE413" w:rsidR="0051620A" w:rsidRDefault="00E7074C" w:rsidP="004E28D9">
      <w:pPr>
        <w:tabs>
          <w:tab w:val="left" w:pos="360"/>
        </w:tabs>
      </w:pPr>
      <w:r>
        <w:t>Once you’re certain that your computations are correct, u</w:t>
      </w:r>
      <w:r w:rsidR="00594546">
        <w:t xml:space="preserve">se the </w:t>
      </w:r>
      <w:r w:rsidR="00594546" w:rsidRPr="00594546">
        <w:rPr>
          <w:i/>
        </w:rPr>
        <w:t>mfc1</w:t>
      </w:r>
      <w:r w:rsidR="00594546">
        <w:t xml:space="preserve"> instruction to move the results from computations (a), (b), and (c) into registers </w:t>
      </w:r>
      <w:r w:rsidR="00594546" w:rsidRPr="00594546">
        <w:rPr>
          <w:b/>
        </w:rPr>
        <w:t>$s0</w:t>
      </w:r>
      <w:r w:rsidR="00594546">
        <w:t xml:space="preserve">, </w:t>
      </w:r>
      <w:r w:rsidR="00594546" w:rsidRPr="00594546">
        <w:rPr>
          <w:b/>
        </w:rPr>
        <w:t>$s1</w:t>
      </w:r>
      <w:r w:rsidR="00594546">
        <w:t xml:space="preserve">, and </w:t>
      </w:r>
      <w:r w:rsidR="00594546" w:rsidRPr="00594546">
        <w:rPr>
          <w:b/>
        </w:rPr>
        <w:t>$s2</w:t>
      </w:r>
      <w:r w:rsidR="001E7375">
        <w:t xml:space="preserve"> respectively.</w:t>
      </w:r>
      <w:r w:rsidR="00FB1BC5">
        <w:t xml:space="preserve">  </w:t>
      </w:r>
      <w:r w:rsidR="0056043F">
        <w:t xml:space="preserve">Note, that the MARS simulator </w:t>
      </w:r>
      <w:r w:rsidR="0014542D">
        <w:t xml:space="preserve">will interpret your </w:t>
      </w:r>
      <w:r w:rsidR="00045D80">
        <w:t xml:space="preserve">values differently when you view the results in the </w:t>
      </w:r>
      <w:r w:rsidR="00045D80" w:rsidRPr="00045D80">
        <w:rPr>
          <w:b/>
        </w:rPr>
        <w:t>$sX</w:t>
      </w:r>
      <w:r w:rsidR="00045D80">
        <w:t xml:space="preserve"> registers.</w:t>
      </w:r>
    </w:p>
    <w:p w14:paraId="1A82FE90" w14:textId="3BCEE141" w:rsidR="00162DA9" w:rsidRDefault="00FB7592" w:rsidP="00162DA9">
      <w:pPr>
        <w:tabs>
          <w:tab w:val="left" w:pos="360"/>
        </w:tabs>
      </w:pPr>
      <w:r>
        <w:t xml:space="preserve">4) </w:t>
      </w:r>
      <w:r w:rsidR="00162DA9">
        <w:t>Under the “</w:t>
      </w:r>
      <w:r w:rsidR="00162DA9" w:rsidRPr="001D1046">
        <w:rPr>
          <w:i/>
        </w:rPr>
        <w:t>do</w:t>
      </w:r>
      <w:r w:rsidR="006035E5">
        <w:rPr>
          <w:i/>
        </w:rPr>
        <w:t>Doubles</w:t>
      </w:r>
      <w:r w:rsidR="00162DA9">
        <w:t xml:space="preserve">” label in the </w:t>
      </w:r>
      <w:r w:rsidR="00162DA9" w:rsidRPr="001D1046">
        <w:rPr>
          <w:i/>
        </w:rPr>
        <w:t>.text</w:t>
      </w:r>
      <w:r w:rsidR="00162DA9">
        <w:t xml:space="preserve"> section, perform the following computations:</w:t>
      </w:r>
      <w:r w:rsidR="00162DA9">
        <w:br/>
      </w:r>
      <w:r w:rsidR="00216FF7">
        <w:tab/>
        <w:t xml:space="preserve">a) </w:t>
      </w:r>
      <w:r w:rsidR="00216FF7">
        <w:rPr>
          <w:i/>
        </w:rPr>
        <w:t>doubles</w:t>
      </w:r>
      <w:r w:rsidR="00216FF7" w:rsidRPr="00DC017F">
        <w:t xml:space="preserve">[0] + </w:t>
      </w:r>
      <w:r w:rsidR="00216FF7">
        <w:rPr>
          <w:i/>
        </w:rPr>
        <w:t>doubles</w:t>
      </w:r>
      <w:r w:rsidR="00216FF7" w:rsidRPr="00DC017F">
        <w:t xml:space="preserve"> [1]</w:t>
      </w:r>
      <w:r w:rsidR="00216FF7">
        <w:t xml:space="preserve">    </w:t>
      </w:r>
      <w:r w:rsidR="00216FF7" w:rsidRPr="00F8732B">
        <w:rPr>
          <w:b/>
        </w:rPr>
        <w:t>(put this result in $f</w:t>
      </w:r>
      <w:r w:rsidR="00216FF7">
        <w:rPr>
          <w:b/>
        </w:rPr>
        <w:t>2</w:t>
      </w:r>
      <w:r w:rsidR="00216FF7" w:rsidRPr="00F8732B">
        <w:rPr>
          <w:b/>
        </w:rPr>
        <w:t>4)</w:t>
      </w:r>
      <w:r w:rsidR="00216FF7">
        <w:br/>
      </w:r>
      <w:r w:rsidR="00216FF7">
        <w:tab/>
        <w:t xml:space="preserve">b) </w:t>
      </w:r>
      <w:r w:rsidR="00216FF7">
        <w:rPr>
          <w:i/>
        </w:rPr>
        <w:t>doubles</w:t>
      </w:r>
      <w:r w:rsidR="00216FF7" w:rsidRPr="00DC017F">
        <w:t xml:space="preserve"> [1] + </w:t>
      </w:r>
      <w:r w:rsidR="00216FF7">
        <w:rPr>
          <w:i/>
        </w:rPr>
        <w:t>doubles</w:t>
      </w:r>
      <w:r w:rsidR="00216FF7" w:rsidRPr="00DC017F">
        <w:t xml:space="preserve"> [2]</w:t>
      </w:r>
      <w:r w:rsidR="00216FF7">
        <w:t xml:space="preserve">    </w:t>
      </w:r>
      <w:r w:rsidR="00216FF7" w:rsidRPr="00F8732B">
        <w:rPr>
          <w:b/>
        </w:rPr>
        <w:t>(put this result in $f</w:t>
      </w:r>
      <w:r w:rsidR="00216FF7">
        <w:rPr>
          <w:b/>
        </w:rPr>
        <w:t>26</w:t>
      </w:r>
      <w:r w:rsidR="00216FF7" w:rsidRPr="00F8732B">
        <w:rPr>
          <w:b/>
        </w:rPr>
        <w:t>)</w:t>
      </w:r>
      <w:r w:rsidR="00216FF7">
        <w:br/>
      </w:r>
      <w:r w:rsidR="00216FF7">
        <w:tab/>
        <w:t xml:space="preserve">c) </w:t>
      </w:r>
      <w:r w:rsidR="00216FF7">
        <w:rPr>
          <w:i/>
        </w:rPr>
        <w:t>doubles</w:t>
      </w:r>
      <w:r w:rsidR="00216FF7" w:rsidRPr="00DC017F">
        <w:t xml:space="preserve"> [2] + </w:t>
      </w:r>
      <w:r w:rsidR="00216FF7">
        <w:rPr>
          <w:i/>
        </w:rPr>
        <w:t>doubles</w:t>
      </w:r>
      <w:r w:rsidR="00216FF7" w:rsidRPr="00DC017F">
        <w:t xml:space="preserve"> [3]</w:t>
      </w:r>
      <w:r w:rsidR="00216FF7">
        <w:t xml:space="preserve">    </w:t>
      </w:r>
      <w:r w:rsidR="00216FF7" w:rsidRPr="00F8732B">
        <w:rPr>
          <w:b/>
        </w:rPr>
        <w:t>(put this result in $f</w:t>
      </w:r>
      <w:r w:rsidR="00216FF7">
        <w:rPr>
          <w:b/>
        </w:rPr>
        <w:t>28</w:t>
      </w:r>
      <w:r w:rsidR="00216FF7" w:rsidRPr="00F8732B">
        <w:rPr>
          <w:b/>
        </w:rPr>
        <w:t>)</w:t>
      </w:r>
      <w:r w:rsidR="00162DA9">
        <w:br/>
      </w:r>
      <w:r w:rsidR="00233371" w:rsidRPr="000143A5">
        <w:rPr>
          <w:color w:val="FF0000"/>
        </w:rPr>
        <w:t>DO NOT overwrite any of the registers that you used in the “</w:t>
      </w:r>
      <w:r w:rsidR="00233371" w:rsidRPr="000143A5">
        <w:rPr>
          <w:i/>
          <w:iCs/>
          <w:color w:val="FF0000"/>
        </w:rPr>
        <w:t>doSingles</w:t>
      </w:r>
      <w:r w:rsidR="00233371" w:rsidRPr="000143A5">
        <w:rPr>
          <w:color w:val="FF0000"/>
        </w:rPr>
        <w:t>” section!</w:t>
      </w:r>
      <w:r w:rsidR="00233371">
        <w:rPr>
          <w:color w:val="FF0000"/>
        </w:rPr>
        <w:t xml:space="preserve">  </w:t>
      </w:r>
      <w:r w:rsidR="00162DA9">
        <w:t xml:space="preserve">Be sure to load the </w:t>
      </w:r>
      <w:r w:rsidR="008A61E6">
        <w:t>double</w:t>
      </w:r>
      <w:r w:rsidR="00162DA9">
        <w:t xml:space="preserve">-precision floating-point values from memory into </w:t>
      </w:r>
      <w:r w:rsidR="00162DA9" w:rsidRPr="0090493E">
        <w:rPr>
          <w:b/>
        </w:rPr>
        <w:t>$fX</w:t>
      </w:r>
      <w:r w:rsidR="00162DA9">
        <w:t xml:space="preserve"> </w:t>
      </w:r>
      <w:r w:rsidR="005F7B9B">
        <w:t>registers using the appropriate load instruction</w:t>
      </w:r>
      <w:r w:rsidR="002D4A35">
        <w:t xml:space="preserve"> (see Table 1).</w:t>
      </w:r>
      <w:r w:rsidR="00512346">
        <w:t xml:space="preserve">  </w:t>
      </w:r>
      <w:r w:rsidR="00162DA9">
        <w:t xml:space="preserve">You cannot do floating-point arithmetic on values stored in </w:t>
      </w:r>
      <w:r w:rsidR="00162DA9" w:rsidRPr="008F4E01">
        <w:rPr>
          <w:b/>
        </w:rPr>
        <w:t>$sX</w:t>
      </w:r>
      <w:r w:rsidR="00162DA9">
        <w:t xml:space="preserve"> or </w:t>
      </w:r>
      <w:r w:rsidR="00162DA9" w:rsidRPr="008F4E01">
        <w:rPr>
          <w:b/>
        </w:rPr>
        <w:t>$tX</w:t>
      </w:r>
      <w:r w:rsidR="00162DA9">
        <w:t xml:space="preserve"> registers.  </w:t>
      </w:r>
      <w:r w:rsidR="0048134A">
        <w:t xml:space="preserve">Also, recall that each double-precision </w:t>
      </w:r>
      <w:r w:rsidR="001A78DB">
        <w:t xml:space="preserve">value consumes two </w:t>
      </w:r>
      <w:r w:rsidR="001A78DB" w:rsidRPr="00652EB5">
        <w:rPr>
          <w:b/>
        </w:rPr>
        <w:t>$fX</w:t>
      </w:r>
      <w:r w:rsidR="001A78DB">
        <w:t xml:space="preserve"> registers, not just one.  </w:t>
      </w:r>
      <w:r w:rsidR="00162DA9">
        <w:t>Use the “</w:t>
      </w:r>
      <w:r w:rsidR="00162DA9" w:rsidRPr="003F073D">
        <w:rPr>
          <w:i/>
        </w:rPr>
        <w:t>Coproc1</w:t>
      </w:r>
      <w:r w:rsidR="00162DA9">
        <w:t>” tab in MARS to view your results and then fill in Table 3 below.  Are the results that you see in MARS the values that you expect?</w:t>
      </w:r>
    </w:p>
    <w:p w14:paraId="6F77CC91" w14:textId="52C5DFA4" w:rsidR="00FB7592" w:rsidRDefault="00162DA9" w:rsidP="00841444">
      <w:pPr>
        <w:tabs>
          <w:tab w:val="left" w:pos="360"/>
        </w:tabs>
      </w:pPr>
      <w:r>
        <w:t xml:space="preserve">Once you’re certain that your computations are correct, use the </w:t>
      </w:r>
      <w:r w:rsidRPr="00594546">
        <w:rPr>
          <w:i/>
        </w:rPr>
        <w:t>mfc1</w:t>
      </w:r>
      <w:r w:rsidR="00DD4D15">
        <w:rPr>
          <w:i/>
        </w:rPr>
        <w:t>.d</w:t>
      </w:r>
      <w:r>
        <w:t xml:space="preserve"> instruction to move the results from computations (a), (b), and (c) into registers </w:t>
      </w:r>
      <w:r w:rsidRPr="00594546">
        <w:rPr>
          <w:b/>
        </w:rPr>
        <w:t>$</w:t>
      </w:r>
      <w:r w:rsidR="006855E6">
        <w:rPr>
          <w:b/>
        </w:rPr>
        <w:t>t</w:t>
      </w:r>
      <w:r w:rsidRPr="00594546">
        <w:rPr>
          <w:b/>
        </w:rPr>
        <w:t>0</w:t>
      </w:r>
      <w:r>
        <w:t xml:space="preserve">, </w:t>
      </w:r>
      <w:r w:rsidRPr="00594546">
        <w:rPr>
          <w:b/>
        </w:rPr>
        <w:t>$</w:t>
      </w:r>
      <w:r w:rsidR="006855E6">
        <w:rPr>
          <w:b/>
        </w:rPr>
        <w:t>t2</w:t>
      </w:r>
      <w:r>
        <w:t xml:space="preserve">, and </w:t>
      </w:r>
      <w:r w:rsidRPr="00594546">
        <w:rPr>
          <w:b/>
        </w:rPr>
        <w:t>$</w:t>
      </w:r>
      <w:r w:rsidR="006855E6">
        <w:rPr>
          <w:b/>
        </w:rPr>
        <w:t>t4</w:t>
      </w:r>
      <w:r>
        <w:t xml:space="preserve"> respectively.  Note, that the MARS simulator will interpret your values differently when you view the results in the </w:t>
      </w:r>
      <w:r w:rsidRPr="00045D80">
        <w:rPr>
          <w:b/>
        </w:rPr>
        <w:t>$</w:t>
      </w:r>
      <w:r w:rsidR="00306CAF">
        <w:rPr>
          <w:b/>
        </w:rPr>
        <w:t>t</w:t>
      </w:r>
      <w:r w:rsidRPr="00045D80">
        <w:rPr>
          <w:b/>
        </w:rPr>
        <w:t>X</w:t>
      </w:r>
      <w:r>
        <w:t xml:space="preserve"> registers.</w:t>
      </w:r>
    </w:p>
    <w:p w14:paraId="79E5C608" w14:textId="50722C9D" w:rsidR="00DD72D7" w:rsidRPr="000C6624" w:rsidRDefault="00DD72D7" w:rsidP="00DD72D7">
      <w:pPr>
        <w:pStyle w:val="Caption"/>
        <w:keepNext/>
        <w:jc w:val="center"/>
        <w:outlineLvl w:val="0"/>
        <w:rPr>
          <w:color w:val="000000" w:themeColor="text1"/>
        </w:rPr>
      </w:pPr>
      <w:r w:rsidRPr="003D6D78">
        <w:rPr>
          <w:color w:val="000000" w:themeColor="text1"/>
        </w:rPr>
        <w:t xml:space="preserve">Table </w:t>
      </w:r>
      <w:r>
        <w:rPr>
          <w:color w:val="000000" w:themeColor="text1"/>
        </w:rPr>
        <w:t>3</w:t>
      </w:r>
      <w:r w:rsidRPr="003D6D78">
        <w:rPr>
          <w:color w:val="000000" w:themeColor="text1"/>
        </w:rPr>
        <w:t xml:space="preserve">: </w:t>
      </w:r>
      <w:r w:rsidR="003303D4">
        <w:rPr>
          <w:color w:val="000000" w:themeColor="text1"/>
        </w:rPr>
        <w:t>Expected and computed sums for each of the required floating-point addition operations</w:t>
      </w:r>
    </w:p>
    <w:tbl>
      <w:tblPr>
        <w:tblStyle w:val="TableGrid"/>
        <w:tblW w:w="0" w:type="auto"/>
        <w:tblInd w:w="108" w:type="dxa"/>
        <w:tblBorders>
          <w:insideV w:val="single" w:sz="12" w:space="0" w:color="auto"/>
        </w:tblBorders>
        <w:tblLook w:val="04A0" w:firstRow="1" w:lastRow="0" w:firstColumn="1" w:lastColumn="0" w:noHBand="0" w:noVBand="1"/>
      </w:tblPr>
      <w:tblGrid>
        <w:gridCol w:w="2340"/>
        <w:gridCol w:w="2520"/>
        <w:gridCol w:w="1152"/>
        <w:gridCol w:w="1152"/>
        <w:gridCol w:w="1728"/>
        <w:gridCol w:w="1728"/>
      </w:tblGrid>
      <w:tr w:rsidR="002B3782" w14:paraId="04254BF8" w14:textId="77777777" w:rsidTr="00A91D27">
        <w:trPr>
          <w:trHeight w:val="288"/>
        </w:trPr>
        <w:tc>
          <w:tcPr>
            <w:tcW w:w="2340" w:type="dxa"/>
            <w:tcBorders>
              <w:bottom w:val="single" w:sz="12" w:space="0" w:color="auto"/>
            </w:tcBorders>
            <w:vAlign w:val="center"/>
          </w:tcPr>
          <w:p w14:paraId="389DAA29" w14:textId="35240934" w:rsidR="002B3782" w:rsidRPr="00186E24" w:rsidRDefault="006C6336" w:rsidP="00046DCD">
            <w:pPr>
              <w:spacing w:after="0"/>
              <w:jc w:val="center"/>
              <w:rPr>
                <w:b/>
              </w:rPr>
            </w:pPr>
            <w:r>
              <w:rPr>
                <w:b/>
              </w:rPr>
              <w:t xml:space="preserve">Computation </w:t>
            </w:r>
            <w:r w:rsidR="002B3782">
              <w:rPr>
                <w:b/>
              </w:rPr>
              <w:t>Type</w:t>
            </w:r>
          </w:p>
        </w:tc>
        <w:tc>
          <w:tcPr>
            <w:tcW w:w="2520" w:type="dxa"/>
            <w:tcBorders>
              <w:bottom w:val="single" w:sz="12" w:space="0" w:color="auto"/>
            </w:tcBorders>
            <w:vAlign w:val="center"/>
          </w:tcPr>
          <w:p w14:paraId="75E7AB83" w14:textId="5261FA3D" w:rsidR="002B3782" w:rsidRDefault="006C6336" w:rsidP="00046DCD">
            <w:pPr>
              <w:spacing w:after="0"/>
              <w:jc w:val="center"/>
              <w:rPr>
                <w:b/>
              </w:rPr>
            </w:pPr>
            <w:r>
              <w:rPr>
                <w:b/>
              </w:rPr>
              <w:t>Computation</w:t>
            </w:r>
          </w:p>
        </w:tc>
        <w:tc>
          <w:tcPr>
            <w:tcW w:w="1152" w:type="dxa"/>
            <w:tcBorders>
              <w:bottom w:val="single" w:sz="12" w:space="0" w:color="auto"/>
            </w:tcBorders>
            <w:vAlign w:val="center"/>
          </w:tcPr>
          <w:p w14:paraId="1395B559" w14:textId="4C8DC5BC" w:rsidR="002B3782" w:rsidRPr="00186E24" w:rsidRDefault="002B3782" w:rsidP="00046DCD">
            <w:pPr>
              <w:spacing w:after="0"/>
              <w:jc w:val="center"/>
              <w:rPr>
                <w:b/>
              </w:rPr>
            </w:pPr>
            <w:r>
              <w:rPr>
                <w:b/>
              </w:rPr>
              <w:t>Op1</w:t>
            </w:r>
          </w:p>
        </w:tc>
        <w:tc>
          <w:tcPr>
            <w:tcW w:w="1152" w:type="dxa"/>
            <w:tcBorders>
              <w:bottom w:val="single" w:sz="12" w:space="0" w:color="auto"/>
            </w:tcBorders>
            <w:vAlign w:val="center"/>
          </w:tcPr>
          <w:p w14:paraId="715AD1A0" w14:textId="36075490" w:rsidR="002B3782" w:rsidRPr="00186E24" w:rsidRDefault="002B3782" w:rsidP="00046DCD">
            <w:pPr>
              <w:spacing w:after="0"/>
              <w:jc w:val="center"/>
              <w:rPr>
                <w:b/>
              </w:rPr>
            </w:pPr>
            <w:r>
              <w:rPr>
                <w:b/>
              </w:rPr>
              <w:t>Op2</w:t>
            </w:r>
          </w:p>
        </w:tc>
        <w:tc>
          <w:tcPr>
            <w:tcW w:w="1728" w:type="dxa"/>
            <w:tcBorders>
              <w:bottom w:val="single" w:sz="12" w:space="0" w:color="auto"/>
            </w:tcBorders>
            <w:vAlign w:val="center"/>
          </w:tcPr>
          <w:p w14:paraId="4428CD1A" w14:textId="6355DCD7" w:rsidR="002B3782" w:rsidRPr="00186E24" w:rsidRDefault="002B3782" w:rsidP="00046DCD">
            <w:pPr>
              <w:spacing w:after="0"/>
              <w:jc w:val="center"/>
              <w:rPr>
                <w:b/>
              </w:rPr>
            </w:pPr>
            <w:r w:rsidRPr="00186E24">
              <w:rPr>
                <w:b/>
              </w:rPr>
              <w:t>Expected Sum</w:t>
            </w:r>
          </w:p>
        </w:tc>
        <w:tc>
          <w:tcPr>
            <w:tcW w:w="1728" w:type="dxa"/>
            <w:tcBorders>
              <w:bottom w:val="single" w:sz="12" w:space="0" w:color="auto"/>
            </w:tcBorders>
            <w:vAlign w:val="center"/>
          </w:tcPr>
          <w:p w14:paraId="6C514086" w14:textId="47F13717" w:rsidR="002B3782" w:rsidRPr="00186E24" w:rsidRDefault="002B3782" w:rsidP="00046DCD">
            <w:pPr>
              <w:spacing w:after="0"/>
              <w:jc w:val="center"/>
              <w:rPr>
                <w:b/>
              </w:rPr>
            </w:pPr>
            <w:r>
              <w:rPr>
                <w:b/>
              </w:rPr>
              <w:t>Computed</w:t>
            </w:r>
            <w:r w:rsidRPr="003E3484">
              <w:rPr>
                <w:b/>
              </w:rPr>
              <w:t xml:space="preserve"> </w:t>
            </w:r>
            <w:r w:rsidRPr="00186E24">
              <w:rPr>
                <w:b/>
              </w:rPr>
              <w:t>Sum</w:t>
            </w:r>
          </w:p>
        </w:tc>
      </w:tr>
      <w:tr w:rsidR="00D927B3" w14:paraId="63349FEF" w14:textId="77777777" w:rsidTr="00A91D27">
        <w:trPr>
          <w:trHeight w:val="216"/>
        </w:trPr>
        <w:tc>
          <w:tcPr>
            <w:tcW w:w="2340" w:type="dxa"/>
            <w:tcBorders>
              <w:top w:val="single" w:sz="12" w:space="0" w:color="auto"/>
            </w:tcBorders>
            <w:vAlign w:val="center"/>
          </w:tcPr>
          <w:p w14:paraId="25E0232A" w14:textId="469AFD23" w:rsidR="00D927B3" w:rsidRDefault="00D927B3" w:rsidP="00D927B3">
            <w:pPr>
              <w:spacing w:after="0"/>
              <w:jc w:val="center"/>
            </w:pPr>
            <w:r>
              <w:t>Single-precision add</w:t>
            </w:r>
          </w:p>
        </w:tc>
        <w:tc>
          <w:tcPr>
            <w:tcW w:w="2520" w:type="dxa"/>
            <w:tcBorders>
              <w:top w:val="single" w:sz="12" w:space="0" w:color="auto"/>
            </w:tcBorders>
            <w:vAlign w:val="center"/>
          </w:tcPr>
          <w:p w14:paraId="002C90C5" w14:textId="0E3E9B18" w:rsidR="00D927B3" w:rsidRPr="008365C0" w:rsidRDefault="00D927B3" w:rsidP="00D927B3">
            <w:pPr>
              <w:spacing w:after="0"/>
              <w:jc w:val="center"/>
            </w:pPr>
            <w:r w:rsidRPr="007149DE">
              <w:rPr>
                <w:i/>
              </w:rPr>
              <w:t>singles</w:t>
            </w:r>
            <w:r w:rsidRPr="00DC017F">
              <w:t xml:space="preserve">[0] + </w:t>
            </w:r>
            <w:r w:rsidRPr="007149DE">
              <w:rPr>
                <w:i/>
              </w:rPr>
              <w:t>singles</w:t>
            </w:r>
            <w:r w:rsidRPr="00DC017F">
              <w:t>[1]</w:t>
            </w:r>
          </w:p>
        </w:tc>
        <w:tc>
          <w:tcPr>
            <w:tcW w:w="1152" w:type="dxa"/>
            <w:tcBorders>
              <w:top w:val="single" w:sz="12" w:space="0" w:color="auto"/>
            </w:tcBorders>
            <w:vAlign w:val="center"/>
          </w:tcPr>
          <w:p w14:paraId="22B1D355" w14:textId="1EE2FA4A" w:rsidR="00D927B3" w:rsidRPr="008365C0" w:rsidRDefault="00D927B3" w:rsidP="00D927B3">
            <w:pPr>
              <w:spacing w:after="0"/>
              <w:jc w:val="center"/>
            </w:pPr>
            <w:r w:rsidRPr="00AC067C">
              <w:t>1.4563</w:t>
            </w:r>
          </w:p>
        </w:tc>
        <w:tc>
          <w:tcPr>
            <w:tcW w:w="1152" w:type="dxa"/>
            <w:tcBorders>
              <w:top w:val="single" w:sz="12" w:space="0" w:color="auto"/>
            </w:tcBorders>
            <w:vAlign w:val="center"/>
          </w:tcPr>
          <w:p w14:paraId="1B052BE3" w14:textId="3EA5A9AC" w:rsidR="00D927B3" w:rsidRPr="008365C0" w:rsidRDefault="00D927B3" w:rsidP="00D927B3">
            <w:pPr>
              <w:spacing w:after="0"/>
              <w:jc w:val="center"/>
            </w:pPr>
            <w:r w:rsidRPr="00AC067C">
              <w:t>2.4564</w:t>
            </w:r>
          </w:p>
        </w:tc>
        <w:tc>
          <w:tcPr>
            <w:tcW w:w="1728" w:type="dxa"/>
            <w:tcBorders>
              <w:top w:val="single" w:sz="12" w:space="0" w:color="auto"/>
            </w:tcBorders>
            <w:vAlign w:val="center"/>
          </w:tcPr>
          <w:p w14:paraId="30716C4C" w14:textId="61C4E708" w:rsidR="00D927B3" w:rsidRPr="00F43A79" w:rsidRDefault="00D927B3" w:rsidP="00D927B3">
            <w:pPr>
              <w:spacing w:after="0"/>
              <w:jc w:val="center"/>
              <w:rPr>
                <w:color w:val="0432FF"/>
              </w:rPr>
            </w:pPr>
            <w:r>
              <w:rPr>
                <w:color w:val="0432FF"/>
              </w:rPr>
              <w:t>3.9127</w:t>
            </w:r>
          </w:p>
        </w:tc>
        <w:tc>
          <w:tcPr>
            <w:tcW w:w="1728" w:type="dxa"/>
            <w:tcBorders>
              <w:top w:val="single" w:sz="12" w:space="0" w:color="auto"/>
            </w:tcBorders>
            <w:vAlign w:val="center"/>
          </w:tcPr>
          <w:p w14:paraId="0A54685E" w14:textId="325929A4" w:rsidR="00D927B3" w:rsidRPr="00F43A79" w:rsidRDefault="00D927B3" w:rsidP="00D927B3">
            <w:pPr>
              <w:spacing w:after="0"/>
              <w:jc w:val="center"/>
              <w:rPr>
                <w:color w:val="0432FF"/>
              </w:rPr>
            </w:pPr>
            <w:r>
              <w:rPr>
                <w:color w:val="0432FF"/>
              </w:rPr>
              <w:t>3.9127</w:t>
            </w:r>
          </w:p>
        </w:tc>
      </w:tr>
      <w:tr w:rsidR="00D927B3" w14:paraId="0EE29E60" w14:textId="77777777" w:rsidTr="00A91D27">
        <w:trPr>
          <w:trHeight w:val="216"/>
        </w:trPr>
        <w:tc>
          <w:tcPr>
            <w:tcW w:w="2340" w:type="dxa"/>
            <w:vAlign w:val="center"/>
          </w:tcPr>
          <w:p w14:paraId="74E88018" w14:textId="3F3A3C35" w:rsidR="00D927B3" w:rsidRDefault="00D927B3" w:rsidP="00D927B3">
            <w:pPr>
              <w:spacing w:after="0"/>
              <w:jc w:val="center"/>
            </w:pPr>
            <w:r>
              <w:t>Single-precision add</w:t>
            </w:r>
          </w:p>
        </w:tc>
        <w:tc>
          <w:tcPr>
            <w:tcW w:w="2520" w:type="dxa"/>
            <w:vAlign w:val="center"/>
          </w:tcPr>
          <w:p w14:paraId="35876F6C" w14:textId="7A5E1B4C" w:rsidR="00D927B3" w:rsidRPr="008365C0" w:rsidRDefault="00D927B3" w:rsidP="00D927B3">
            <w:pPr>
              <w:spacing w:after="0"/>
              <w:jc w:val="center"/>
            </w:pPr>
            <w:r w:rsidRPr="00DC017F">
              <w:t>singles[</w:t>
            </w:r>
            <w:r>
              <w:t>1</w:t>
            </w:r>
            <w:r w:rsidRPr="00DC017F">
              <w:t xml:space="preserve">] + </w:t>
            </w:r>
            <w:r w:rsidRPr="007149DE">
              <w:rPr>
                <w:i/>
              </w:rPr>
              <w:t>singles</w:t>
            </w:r>
            <w:r w:rsidRPr="00DC017F">
              <w:t>[</w:t>
            </w:r>
            <w:r>
              <w:t>2</w:t>
            </w:r>
            <w:r w:rsidRPr="00DC017F">
              <w:t>]</w:t>
            </w:r>
          </w:p>
        </w:tc>
        <w:tc>
          <w:tcPr>
            <w:tcW w:w="1152" w:type="dxa"/>
            <w:vAlign w:val="center"/>
          </w:tcPr>
          <w:p w14:paraId="1687049E" w14:textId="746AFCB4" w:rsidR="00D927B3" w:rsidRPr="008365C0" w:rsidRDefault="00D927B3" w:rsidP="00D927B3">
            <w:pPr>
              <w:spacing w:after="0"/>
              <w:jc w:val="center"/>
            </w:pPr>
            <w:r w:rsidRPr="00AC067C">
              <w:t>2.4564</w:t>
            </w:r>
          </w:p>
        </w:tc>
        <w:tc>
          <w:tcPr>
            <w:tcW w:w="1152" w:type="dxa"/>
            <w:vAlign w:val="center"/>
          </w:tcPr>
          <w:p w14:paraId="54C8EA74" w14:textId="7237CF09" w:rsidR="00D927B3" w:rsidRPr="008365C0" w:rsidRDefault="00D927B3" w:rsidP="00D927B3">
            <w:pPr>
              <w:spacing w:after="0"/>
              <w:jc w:val="center"/>
            </w:pPr>
            <w:r w:rsidRPr="00AC067C">
              <w:t>-4.2342</w:t>
            </w:r>
          </w:p>
        </w:tc>
        <w:tc>
          <w:tcPr>
            <w:tcW w:w="1728" w:type="dxa"/>
            <w:vAlign w:val="center"/>
          </w:tcPr>
          <w:p w14:paraId="3AD741CD" w14:textId="2A2823D5" w:rsidR="00D927B3" w:rsidRPr="00F43A79" w:rsidRDefault="00D927B3" w:rsidP="00D927B3">
            <w:pPr>
              <w:spacing w:after="0"/>
              <w:jc w:val="center"/>
              <w:rPr>
                <w:color w:val="0432FF"/>
              </w:rPr>
            </w:pPr>
            <w:r>
              <w:rPr>
                <w:color w:val="0432FF"/>
              </w:rPr>
              <w:t>-1.778</w:t>
            </w:r>
          </w:p>
        </w:tc>
        <w:tc>
          <w:tcPr>
            <w:tcW w:w="1728" w:type="dxa"/>
            <w:vAlign w:val="center"/>
          </w:tcPr>
          <w:p w14:paraId="6F043142" w14:textId="422BD27A" w:rsidR="00D927B3" w:rsidRPr="00F43A79" w:rsidRDefault="00D927B3" w:rsidP="00D927B3">
            <w:pPr>
              <w:spacing w:after="0"/>
              <w:jc w:val="center"/>
              <w:rPr>
                <w:color w:val="0432FF"/>
              </w:rPr>
            </w:pPr>
            <w:r>
              <w:rPr>
                <w:color w:val="0432FF"/>
              </w:rPr>
              <w:t>-</w:t>
            </w:r>
            <w:r>
              <w:rPr>
                <w:color w:val="0432FF"/>
              </w:rPr>
              <w:t>1.778</w:t>
            </w:r>
          </w:p>
        </w:tc>
      </w:tr>
      <w:tr w:rsidR="00D927B3" w14:paraId="512A8F6B" w14:textId="77777777" w:rsidTr="00A91D27">
        <w:trPr>
          <w:trHeight w:val="216"/>
        </w:trPr>
        <w:tc>
          <w:tcPr>
            <w:tcW w:w="2340" w:type="dxa"/>
            <w:vAlign w:val="center"/>
          </w:tcPr>
          <w:p w14:paraId="2253B8CE" w14:textId="1C716431" w:rsidR="00D927B3" w:rsidRDefault="00D927B3" w:rsidP="00D927B3">
            <w:pPr>
              <w:spacing w:after="0"/>
              <w:jc w:val="center"/>
            </w:pPr>
            <w:r>
              <w:t>Single-precision add</w:t>
            </w:r>
          </w:p>
        </w:tc>
        <w:tc>
          <w:tcPr>
            <w:tcW w:w="2520" w:type="dxa"/>
            <w:vAlign w:val="center"/>
          </w:tcPr>
          <w:p w14:paraId="00E57302" w14:textId="38F8774A" w:rsidR="00D927B3" w:rsidRPr="00DC017F" w:rsidRDefault="00D927B3" w:rsidP="00D927B3">
            <w:pPr>
              <w:spacing w:after="0"/>
              <w:jc w:val="center"/>
            </w:pPr>
            <w:r w:rsidRPr="007149DE">
              <w:rPr>
                <w:i/>
              </w:rPr>
              <w:t>singles</w:t>
            </w:r>
            <w:r w:rsidRPr="00DC017F">
              <w:t>[</w:t>
            </w:r>
            <w:r>
              <w:t>2</w:t>
            </w:r>
            <w:r w:rsidRPr="00DC017F">
              <w:t xml:space="preserve">] + </w:t>
            </w:r>
            <w:r w:rsidRPr="007149DE">
              <w:rPr>
                <w:i/>
              </w:rPr>
              <w:t>singles</w:t>
            </w:r>
            <w:r w:rsidRPr="00DC017F">
              <w:t>[</w:t>
            </w:r>
            <w:r>
              <w:t>3</w:t>
            </w:r>
            <w:r w:rsidRPr="00DC017F">
              <w:t>]</w:t>
            </w:r>
          </w:p>
        </w:tc>
        <w:tc>
          <w:tcPr>
            <w:tcW w:w="1152" w:type="dxa"/>
            <w:vAlign w:val="center"/>
          </w:tcPr>
          <w:p w14:paraId="7D79C1BB" w14:textId="620E8AE6" w:rsidR="00D927B3" w:rsidRPr="008365C0" w:rsidRDefault="00D927B3" w:rsidP="00D927B3">
            <w:pPr>
              <w:spacing w:after="0"/>
              <w:jc w:val="center"/>
            </w:pPr>
            <w:r w:rsidRPr="00AC067C">
              <w:t>-4.2342</w:t>
            </w:r>
          </w:p>
        </w:tc>
        <w:tc>
          <w:tcPr>
            <w:tcW w:w="1152" w:type="dxa"/>
            <w:vAlign w:val="center"/>
          </w:tcPr>
          <w:p w14:paraId="430A1101" w14:textId="4DDB5B41" w:rsidR="00D927B3" w:rsidRPr="008365C0" w:rsidRDefault="00D927B3" w:rsidP="00D927B3">
            <w:pPr>
              <w:spacing w:after="0"/>
              <w:jc w:val="center"/>
            </w:pPr>
            <w:r w:rsidRPr="00AC067C">
              <w:t>65.334</w:t>
            </w:r>
          </w:p>
        </w:tc>
        <w:tc>
          <w:tcPr>
            <w:tcW w:w="1728" w:type="dxa"/>
            <w:vAlign w:val="center"/>
          </w:tcPr>
          <w:p w14:paraId="743B324B" w14:textId="1CED5F7C" w:rsidR="00D927B3" w:rsidRPr="00F43A79" w:rsidRDefault="00D927B3" w:rsidP="00D927B3">
            <w:pPr>
              <w:spacing w:after="0"/>
              <w:jc w:val="center"/>
              <w:rPr>
                <w:color w:val="0432FF"/>
              </w:rPr>
            </w:pPr>
            <w:r>
              <w:rPr>
                <w:color w:val="0432FF"/>
              </w:rPr>
              <w:t>61.0998</w:t>
            </w:r>
          </w:p>
        </w:tc>
        <w:tc>
          <w:tcPr>
            <w:tcW w:w="1728" w:type="dxa"/>
            <w:vAlign w:val="center"/>
          </w:tcPr>
          <w:p w14:paraId="1E056CC5" w14:textId="74471149" w:rsidR="00D927B3" w:rsidRPr="00F43A79" w:rsidRDefault="00D927B3" w:rsidP="00D927B3">
            <w:pPr>
              <w:spacing w:after="0"/>
              <w:jc w:val="center"/>
              <w:rPr>
                <w:color w:val="0432FF"/>
              </w:rPr>
            </w:pPr>
            <w:r>
              <w:rPr>
                <w:color w:val="0432FF"/>
              </w:rPr>
              <w:t>61.0998</w:t>
            </w:r>
          </w:p>
        </w:tc>
      </w:tr>
      <w:tr w:rsidR="00D927B3" w14:paraId="57794EF8" w14:textId="77777777" w:rsidTr="00A91D27">
        <w:trPr>
          <w:trHeight w:val="216"/>
        </w:trPr>
        <w:tc>
          <w:tcPr>
            <w:tcW w:w="2340" w:type="dxa"/>
            <w:vAlign w:val="center"/>
          </w:tcPr>
          <w:p w14:paraId="26E283D8" w14:textId="6E5DCA0B" w:rsidR="00D927B3" w:rsidRDefault="00D927B3" w:rsidP="00D927B3">
            <w:pPr>
              <w:spacing w:after="0"/>
              <w:jc w:val="center"/>
            </w:pPr>
            <w:r>
              <w:t>Double-precision add</w:t>
            </w:r>
          </w:p>
        </w:tc>
        <w:tc>
          <w:tcPr>
            <w:tcW w:w="2520" w:type="dxa"/>
            <w:vAlign w:val="center"/>
          </w:tcPr>
          <w:p w14:paraId="18E1FA96" w14:textId="09934D6C" w:rsidR="00D927B3" w:rsidRPr="008365C0" w:rsidRDefault="00D927B3" w:rsidP="00D927B3">
            <w:pPr>
              <w:spacing w:after="0"/>
              <w:jc w:val="center"/>
            </w:pPr>
            <w:r w:rsidRPr="007149DE">
              <w:rPr>
                <w:i/>
              </w:rPr>
              <w:t>doubles</w:t>
            </w:r>
            <w:r w:rsidRPr="00DC017F">
              <w:t xml:space="preserve">[0] + </w:t>
            </w:r>
            <w:r w:rsidRPr="007149DE">
              <w:rPr>
                <w:i/>
              </w:rPr>
              <w:t>doubles</w:t>
            </w:r>
            <w:r w:rsidRPr="00DC017F">
              <w:t>[1]</w:t>
            </w:r>
          </w:p>
        </w:tc>
        <w:tc>
          <w:tcPr>
            <w:tcW w:w="1152" w:type="dxa"/>
            <w:vAlign w:val="center"/>
          </w:tcPr>
          <w:p w14:paraId="5AE8CD6F" w14:textId="27CA59C1" w:rsidR="00D927B3" w:rsidRPr="008365C0" w:rsidRDefault="00D927B3" w:rsidP="00D927B3">
            <w:pPr>
              <w:spacing w:after="0"/>
              <w:jc w:val="center"/>
            </w:pPr>
            <w:r w:rsidRPr="008365C0">
              <w:t>1.4563</w:t>
            </w:r>
          </w:p>
        </w:tc>
        <w:tc>
          <w:tcPr>
            <w:tcW w:w="1152" w:type="dxa"/>
            <w:vAlign w:val="center"/>
          </w:tcPr>
          <w:p w14:paraId="301DFE9B" w14:textId="476D81B2" w:rsidR="00D927B3" w:rsidRPr="008365C0" w:rsidRDefault="00D927B3" w:rsidP="00D927B3">
            <w:pPr>
              <w:spacing w:after="0"/>
              <w:jc w:val="center"/>
            </w:pPr>
            <w:r w:rsidRPr="00AC067C">
              <w:t>2.4564</w:t>
            </w:r>
          </w:p>
        </w:tc>
        <w:tc>
          <w:tcPr>
            <w:tcW w:w="1728" w:type="dxa"/>
            <w:vAlign w:val="center"/>
          </w:tcPr>
          <w:p w14:paraId="09BD4DA3" w14:textId="291A6790" w:rsidR="00D927B3" w:rsidRPr="00F43A79" w:rsidRDefault="00D927B3" w:rsidP="00D927B3">
            <w:pPr>
              <w:spacing w:after="0"/>
              <w:jc w:val="center"/>
              <w:rPr>
                <w:color w:val="0432FF"/>
              </w:rPr>
            </w:pPr>
            <w:r>
              <w:rPr>
                <w:color w:val="0432FF"/>
              </w:rPr>
              <w:t>3.9127</w:t>
            </w:r>
          </w:p>
        </w:tc>
        <w:tc>
          <w:tcPr>
            <w:tcW w:w="1728" w:type="dxa"/>
            <w:vAlign w:val="center"/>
          </w:tcPr>
          <w:p w14:paraId="3E582B13" w14:textId="656F23B7" w:rsidR="00D927B3" w:rsidRPr="00F43A79" w:rsidRDefault="00D927B3" w:rsidP="00D927B3">
            <w:pPr>
              <w:spacing w:after="0"/>
              <w:jc w:val="center"/>
              <w:rPr>
                <w:color w:val="0432FF"/>
              </w:rPr>
            </w:pPr>
            <w:r>
              <w:rPr>
                <w:color w:val="0432FF"/>
              </w:rPr>
              <w:t>3.9127</w:t>
            </w:r>
          </w:p>
        </w:tc>
      </w:tr>
      <w:tr w:rsidR="00D927B3" w14:paraId="5ECC9E15" w14:textId="77777777" w:rsidTr="00A91D27">
        <w:trPr>
          <w:trHeight w:val="216"/>
        </w:trPr>
        <w:tc>
          <w:tcPr>
            <w:tcW w:w="2340" w:type="dxa"/>
            <w:vAlign w:val="center"/>
          </w:tcPr>
          <w:p w14:paraId="63D75C7A" w14:textId="4066777C" w:rsidR="00D927B3" w:rsidRDefault="00D927B3" w:rsidP="00D927B3">
            <w:pPr>
              <w:spacing w:after="0"/>
              <w:jc w:val="center"/>
            </w:pPr>
            <w:r>
              <w:t>Double-precision add</w:t>
            </w:r>
          </w:p>
        </w:tc>
        <w:tc>
          <w:tcPr>
            <w:tcW w:w="2520" w:type="dxa"/>
            <w:vAlign w:val="center"/>
          </w:tcPr>
          <w:p w14:paraId="167B29B0" w14:textId="78D446B8" w:rsidR="00D927B3" w:rsidRPr="008365C0" w:rsidRDefault="00D927B3" w:rsidP="00D927B3">
            <w:pPr>
              <w:spacing w:after="0"/>
              <w:jc w:val="center"/>
            </w:pPr>
            <w:r w:rsidRPr="007149DE">
              <w:rPr>
                <w:i/>
              </w:rPr>
              <w:t>doubles</w:t>
            </w:r>
            <w:r w:rsidRPr="00DC017F">
              <w:t>[</w:t>
            </w:r>
            <w:r>
              <w:t>1</w:t>
            </w:r>
            <w:r w:rsidRPr="00DC017F">
              <w:t xml:space="preserve">] + </w:t>
            </w:r>
            <w:r w:rsidRPr="007149DE">
              <w:rPr>
                <w:i/>
              </w:rPr>
              <w:t>doubles</w:t>
            </w:r>
            <w:r w:rsidRPr="00DC017F">
              <w:t>[</w:t>
            </w:r>
            <w:r>
              <w:t>2</w:t>
            </w:r>
            <w:r w:rsidRPr="00DC017F">
              <w:t>]</w:t>
            </w:r>
          </w:p>
        </w:tc>
        <w:tc>
          <w:tcPr>
            <w:tcW w:w="1152" w:type="dxa"/>
            <w:vAlign w:val="center"/>
          </w:tcPr>
          <w:p w14:paraId="5803B319" w14:textId="4F1570B1" w:rsidR="00D927B3" w:rsidRPr="008365C0" w:rsidRDefault="00D927B3" w:rsidP="00D927B3">
            <w:pPr>
              <w:spacing w:after="0"/>
              <w:jc w:val="center"/>
            </w:pPr>
            <w:r w:rsidRPr="00AC067C">
              <w:t>2.4564</w:t>
            </w:r>
          </w:p>
        </w:tc>
        <w:tc>
          <w:tcPr>
            <w:tcW w:w="1152" w:type="dxa"/>
            <w:vAlign w:val="center"/>
          </w:tcPr>
          <w:p w14:paraId="20FAACD0" w14:textId="62F3727E" w:rsidR="00D927B3" w:rsidRPr="008365C0" w:rsidRDefault="00D927B3" w:rsidP="00D927B3">
            <w:pPr>
              <w:spacing w:after="0"/>
              <w:jc w:val="center"/>
            </w:pPr>
            <w:r w:rsidRPr="00AC067C">
              <w:t>-4.2342</w:t>
            </w:r>
          </w:p>
        </w:tc>
        <w:tc>
          <w:tcPr>
            <w:tcW w:w="1728" w:type="dxa"/>
            <w:vAlign w:val="center"/>
          </w:tcPr>
          <w:p w14:paraId="4BC45C29" w14:textId="0EEEE8F1" w:rsidR="00D927B3" w:rsidRPr="00F43A79" w:rsidRDefault="00D927B3" w:rsidP="00D927B3">
            <w:pPr>
              <w:spacing w:after="0"/>
              <w:jc w:val="center"/>
              <w:rPr>
                <w:color w:val="0432FF"/>
              </w:rPr>
            </w:pPr>
            <w:r>
              <w:rPr>
                <w:color w:val="0432FF"/>
              </w:rPr>
              <w:t>-</w:t>
            </w:r>
            <w:r>
              <w:rPr>
                <w:color w:val="0432FF"/>
              </w:rPr>
              <w:t>1.778</w:t>
            </w:r>
          </w:p>
        </w:tc>
        <w:tc>
          <w:tcPr>
            <w:tcW w:w="1728" w:type="dxa"/>
            <w:vAlign w:val="center"/>
          </w:tcPr>
          <w:p w14:paraId="47107E5D" w14:textId="26365F33" w:rsidR="00D927B3" w:rsidRPr="00F43A79" w:rsidRDefault="00D927B3" w:rsidP="00D927B3">
            <w:pPr>
              <w:spacing w:after="0"/>
              <w:jc w:val="center"/>
              <w:rPr>
                <w:color w:val="0432FF"/>
              </w:rPr>
            </w:pPr>
            <w:r>
              <w:rPr>
                <w:color w:val="0432FF"/>
              </w:rPr>
              <w:t>-</w:t>
            </w:r>
            <w:r>
              <w:rPr>
                <w:color w:val="0432FF"/>
              </w:rPr>
              <w:t>1.778</w:t>
            </w:r>
          </w:p>
        </w:tc>
      </w:tr>
      <w:tr w:rsidR="00D927B3" w14:paraId="238CC27C" w14:textId="77777777" w:rsidTr="00A91D27">
        <w:trPr>
          <w:trHeight w:val="216"/>
        </w:trPr>
        <w:tc>
          <w:tcPr>
            <w:tcW w:w="2340" w:type="dxa"/>
            <w:vAlign w:val="center"/>
          </w:tcPr>
          <w:p w14:paraId="0C3936C0" w14:textId="113C9B99" w:rsidR="00D927B3" w:rsidRDefault="00D927B3" w:rsidP="00D927B3">
            <w:pPr>
              <w:spacing w:after="0"/>
              <w:jc w:val="center"/>
            </w:pPr>
            <w:r>
              <w:t>Double-precision add</w:t>
            </w:r>
          </w:p>
        </w:tc>
        <w:tc>
          <w:tcPr>
            <w:tcW w:w="2520" w:type="dxa"/>
            <w:vAlign w:val="center"/>
          </w:tcPr>
          <w:p w14:paraId="09F60B64" w14:textId="4FDCF0C2" w:rsidR="00D927B3" w:rsidRPr="008365C0" w:rsidRDefault="00D927B3" w:rsidP="00D927B3">
            <w:pPr>
              <w:spacing w:after="0"/>
              <w:jc w:val="center"/>
            </w:pPr>
            <w:r w:rsidRPr="007149DE">
              <w:rPr>
                <w:i/>
              </w:rPr>
              <w:t>doubles</w:t>
            </w:r>
            <w:r w:rsidRPr="00DC017F">
              <w:t>[</w:t>
            </w:r>
            <w:r>
              <w:t>2</w:t>
            </w:r>
            <w:r w:rsidRPr="00DC017F">
              <w:t xml:space="preserve">] + </w:t>
            </w:r>
            <w:r w:rsidRPr="007149DE">
              <w:rPr>
                <w:i/>
              </w:rPr>
              <w:t>doubles</w:t>
            </w:r>
            <w:r w:rsidRPr="00DC017F">
              <w:t>[</w:t>
            </w:r>
            <w:r>
              <w:t>3</w:t>
            </w:r>
            <w:r w:rsidRPr="00DC017F">
              <w:t>]</w:t>
            </w:r>
          </w:p>
        </w:tc>
        <w:tc>
          <w:tcPr>
            <w:tcW w:w="1152" w:type="dxa"/>
            <w:vAlign w:val="center"/>
          </w:tcPr>
          <w:p w14:paraId="3F1FB22D" w14:textId="307C3CEB" w:rsidR="00D927B3" w:rsidRPr="008365C0" w:rsidRDefault="00D927B3" w:rsidP="00D927B3">
            <w:pPr>
              <w:spacing w:after="0"/>
              <w:jc w:val="center"/>
            </w:pPr>
            <w:r w:rsidRPr="00AC067C">
              <w:t>-4.2342</w:t>
            </w:r>
          </w:p>
        </w:tc>
        <w:tc>
          <w:tcPr>
            <w:tcW w:w="1152" w:type="dxa"/>
            <w:vAlign w:val="center"/>
          </w:tcPr>
          <w:p w14:paraId="3E0340B0" w14:textId="7348B4B0" w:rsidR="00D927B3" w:rsidRPr="008365C0" w:rsidRDefault="00D927B3" w:rsidP="00D927B3">
            <w:pPr>
              <w:spacing w:after="0"/>
              <w:jc w:val="center"/>
            </w:pPr>
            <w:r w:rsidRPr="00AC067C">
              <w:t>65.334</w:t>
            </w:r>
          </w:p>
        </w:tc>
        <w:tc>
          <w:tcPr>
            <w:tcW w:w="1728" w:type="dxa"/>
            <w:vAlign w:val="center"/>
          </w:tcPr>
          <w:p w14:paraId="1DD57FB3" w14:textId="74511B94" w:rsidR="00D927B3" w:rsidRPr="00F43A79" w:rsidRDefault="00D927B3" w:rsidP="00D927B3">
            <w:pPr>
              <w:spacing w:after="0"/>
              <w:jc w:val="center"/>
              <w:rPr>
                <w:color w:val="0432FF"/>
              </w:rPr>
            </w:pPr>
            <w:r>
              <w:rPr>
                <w:color w:val="0432FF"/>
              </w:rPr>
              <w:t>61.0998</w:t>
            </w:r>
          </w:p>
        </w:tc>
        <w:tc>
          <w:tcPr>
            <w:tcW w:w="1728" w:type="dxa"/>
            <w:vAlign w:val="center"/>
          </w:tcPr>
          <w:p w14:paraId="2290AEC0" w14:textId="430F6F40" w:rsidR="00D927B3" w:rsidRPr="00F43A79" w:rsidRDefault="00D927B3" w:rsidP="00D927B3">
            <w:pPr>
              <w:spacing w:after="0"/>
              <w:jc w:val="center"/>
              <w:rPr>
                <w:color w:val="0432FF"/>
              </w:rPr>
            </w:pPr>
            <w:r>
              <w:rPr>
                <w:color w:val="0432FF"/>
              </w:rPr>
              <w:t>61.0998</w:t>
            </w:r>
          </w:p>
        </w:tc>
      </w:tr>
    </w:tbl>
    <w:p w14:paraId="4FC9EBC3" w14:textId="1776D9DC" w:rsidR="00B85800" w:rsidRDefault="00B85800" w:rsidP="00511FE3"/>
    <w:p w14:paraId="5E8A93C6" w14:textId="77777777" w:rsidR="001F2661" w:rsidRPr="002C20CB" w:rsidRDefault="001F2661" w:rsidP="001F2661">
      <w:pPr>
        <w:widowControl w:val="0"/>
        <w:spacing w:line="240" w:lineRule="auto"/>
      </w:pPr>
      <w:r>
        <w:rPr>
          <w:b/>
        </w:rPr>
        <w:t>Test Your Code</w:t>
      </w:r>
    </w:p>
    <w:p w14:paraId="05540ABE" w14:textId="09D3FCAC" w:rsidR="001F2661" w:rsidRDefault="00087676" w:rsidP="001F2661">
      <w:pPr>
        <w:widowControl w:val="0"/>
        <w:spacing w:line="240" w:lineRule="auto"/>
      </w:pPr>
      <w:r>
        <w:t>T</w:t>
      </w:r>
      <w:r w:rsidR="001F2661">
        <w:t>est your code using the supplied unit tests.  To run the supplied unit tests, open a Cygwin shell and type the following:</w:t>
      </w:r>
    </w:p>
    <w:p w14:paraId="042CDF83" w14:textId="06298037" w:rsidR="001F2661" w:rsidRPr="004B039E" w:rsidRDefault="001F2661" w:rsidP="001F2661">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00BB05A4" w:rsidRPr="00BB05A4">
        <w:rPr>
          <w:rFonts w:ascii="Courier New" w:hAnsi="Courier New" w:cs="Courier New"/>
        </w:rPr>
        <w:t>Lab07_Introduction_to_Floating_Point_Operations</w:t>
      </w:r>
      <w:r w:rsidRPr="004B039E">
        <w:rPr>
          <w:rFonts w:ascii="Courier New" w:hAnsi="Courier New" w:cs="Courier New"/>
        </w:rPr>
        <w:br/>
        <w:t xml:space="preserve">make </w:t>
      </w:r>
      <w:r>
        <w:rPr>
          <w:rFonts w:ascii="Courier New" w:hAnsi="Courier New" w:cs="Courier New"/>
        </w:rPr>
        <w:t>test_part</w:t>
      </w:r>
      <w:r w:rsidR="006F47DB">
        <w:rPr>
          <w:rFonts w:ascii="Courier New" w:hAnsi="Courier New" w:cs="Courier New"/>
        </w:rPr>
        <w:t>1</w:t>
      </w:r>
    </w:p>
    <w:p w14:paraId="488758D1" w14:textId="77777777" w:rsidR="001F2661" w:rsidRPr="00ED6196" w:rsidRDefault="001F2661" w:rsidP="001F2661">
      <w:pPr>
        <w:widowControl w:val="0"/>
        <w:spacing w:line="240" w:lineRule="auto"/>
      </w:pPr>
      <w:r>
        <w:t>You will see output that indicates if your code passed or failed the included unit tests.  If your code did NOT pass the units tests, address any errors and try running the unit</w:t>
      </w:r>
      <w:r w:rsidRPr="00ED6196">
        <w:t xml:space="preserve"> tests again.</w:t>
      </w:r>
    </w:p>
    <w:p w14:paraId="73494FE2" w14:textId="5E8D6B7E" w:rsidR="001F2661" w:rsidRDefault="001F2661" w:rsidP="00511FE3">
      <w:pPr>
        <w:rPr>
          <w:b/>
        </w:rPr>
      </w:pPr>
    </w:p>
    <w:p w14:paraId="7261A45A" w14:textId="77777777" w:rsidR="007B14B7" w:rsidRDefault="007B14B7" w:rsidP="00511FE3">
      <w:pPr>
        <w:rPr>
          <w:b/>
        </w:rPr>
      </w:pPr>
    </w:p>
    <w:p w14:paraId="5557A828" w14:textId="4994FA0B" w:rsidR="00006D3F" w:rsidRPr="0003615D" w:rsidRDefault="003B2125" w:rsidP="00511FE3">
      <w:pPr>
        <w:rPr>
          <w:b/>
        </w:rPr>
      </w:pPr>
      <w:r w:rsidRPr="0003615D">
        <w:rPr>
          <w:b/>
        </w:rPr>
        <w:t xml:space="preserve">3.2 </w:t>
      </w:r>
      <w:r w:rsidR="0069657D" w:rsidRPr="0003615D">
        <w:rPr>
          <w:b/>
        </w:rPr>
        <w:t>Calculating the Area of a Circle</w:t>
      </w:r>
    </w:p>
    <w:p w14:paraId="3F8BFAC9" w14:textId="77777777" w:rsidR="00BA04B8" w:rsidRDefault="00006D3F" w:rsidP="00BA04B8">
      <w:r w:rsidRPr="0003615D">
        <w:t>Within MIPS there are no instructions to load</w:t>
      </w:r>
      <w:r w:rsidR="008410A1" w:rsidRPr="0003615D">
        <w:t xml:space="preserve"> </w:t>
      </w:r>
      <w:r w:rsidRPr="0003615D">
        <w:t>literal values (-12.2343, 34.98, π</w:t>
      </w:r>
      <w:r w:rsidR="00904FF8" w:rsidRPr="0003615D">
        <w:t xml:space="preserve">, </w:t>
      </w:r>
      <w:r w:rsidRPr="0003615D">
        <w:t>etc</w:t>
      </w:r>
      <w:r w:rsidR="00904FF8" w:rsidRPr="0003615D">
        <w:t>.</w:t>
      </w:r>
      <w:r w:rsidRPr="0003615D">
        <w:t xml:space="preserve">) </w:t>
      </w:r>
      <w:r w:rsidR="0081614D" w:rsidRPr="0003615D">
        <w:t xml:space="preserve">directly </w:t>
      </w:r>
      <w:r w:rsidRPr="0003615D">
        <w:t>into floating</w:t>
      </w:r>
      <w:r w:rsidR="00C35FF4" w:rsidRPr="0003615D">
        <w:t>-</w:t>
      </w:r>
      <w:r w:rsidRPr="0003615D">
        <w:t>point register</w:t>
      </w:r>
      <w:r w:rsidR="00983C6D" w:rsidRPr="0003615D">
        <w:t>s</w:t>
      </w:r>
      <w:r w:rsidR="00FE0AFF" w:rsidRPr="0003615D">
        <w:t xml:space="preserve"> (i.e. no load immediate for floats)</w:t>
      </w:r>
      <w:r w:rsidRPr="0003615D">
        <w:t xml:space="preserve">. </w:t>
      </w:r>
      <w:r w:rsidR="00D52264" w:rsidRPr="0003615D">
        <w:t xml:space="preserve"> </w:t>
      </w:r>
      <w:r w:rsidRPr="0003615D">
        <w:t>All floating</w:t>
      </w:r>
      <w:r w:rsidR="0049596E" w:rsidRPr="0003615D">
        <w:t>-</w:t>
      </w:r>
      <w:r w:rsidRPr="0003615D">
        <w:t>point constants</w:t>
      </w:r>
      <w:r w:rsidR="0041517B" w:rsidRPr="0003615D">
        <w:t xml:space="preserve"> (single</w:t>
      </w:r>
      <w:r w:rsidR="00AB158D" w:rsidRPr="0003615D">
        <w:t>-</w:t>
      </w:r>
      <w:r w:rsidR="0041517B" w:rsidRPr="0003615D">
        <w:t xml:space="preserve"> and double</w:t>
      </w:r>
      <w:r w:rsidR="00AB158D" w:rsidRPr="0003615D">
        <w:t>-precision</w:t>
      </w:r>
      <w:r w:rsidR="0041517B" w:rsidRPr="0003615D">
        <w:t>)</w:t>
      </w:r>
      <w:r w:rsidRPr="0003615D">
        <w:t xml:space="preserve"> must be stored in the </w:t>
      </w:r>
      <w:r w:rsidRPr="0003615D">
        <w:rPr>
          <w:i/>
        </w:rPr>
        <w:t>.data</w:t>
      </w:r>
      <w:r w:rsidRPr="0003615D">
        <w:t xml:space="preserve"> segment and then loaded </w:t>
      </w:r>
      <w:r w:rsidR="00F83566" w:rsidRPr="0003615D">
        <w:t>from</w:t>
      </w:r>
      <w:r w:rsidRPr="0003615D">
        <w:t xml:space="preserve"> memory </w:t>
      </w:r>
      <w:r w:rsidR="00F83566" w:rsidRPr="0003615D">
        <w:t xml:space="preserve">into </w:t>
      </w:r>
      <w:r w:rsidR="00D00838" w:rsidRPr="0003615D">
        <w:rPr>
          <w:b/>
        </w:rPr>
        <w:t>$f</w:t>
      </w:r>
      <w:r w:rsidR="00D52264" w:rsidRPr="0003615D">
        <w:rPr>
          <w:b/>
        </w:rPr>
        <w:t>X</w:t>
      </w:r>
      <w:r w:rsidR="00D00838" w:rsidRPr="0003615D">
        <w:t xml:space="preserve"> </w:t>
      </w:r>
      <w:r w:rsidR="00F83566" w:rsidRPr="0003615D">
        <w:t xml:space="preserve">registers </w:t>
      </w:r>
      <w:r w:rsidRPr="0003615D">
        <w:t>as needed.</w:t>
      </w:r>
      <w:r w:rsidR="00F14102" w:rsidRPr="0003615D">
        <w:t xml:space="preserve"> </w:t>
      </w:r>
      <w:r w:rsidR="00D52264" w:rsidRPr="0003615D">
        <w:t xml:space="preserve"> </w:t>
      </w:r>
      <w:r w:rsidR="00F14102" w:rsidRPr="0003615D">
        <w:t xml:space="preserve">Utilize the </w:t>
      </w:r>
      <w:r w:rsidR="00C3783A" w:rsidRPr="0003615D">
        <w:rPr>
          <w:i/>
        </w:rPr>
        <w:t>.</w:t>
      </w:r>
      <w:r w:rsidR="00F14102" w:rsidRPr="0003615D">
        <w:rPr>
          <w:i/>
        </w:rPr>
        <w:t>data</w:t>
      </w:r>
      <w:r w:rsidR="00F14102" w:rsidRPr="0003615D">
        <w:t xml:space="preserve"> segment to calculate the following values below.</w:t>
      </w:r>
      <w:r w:rsidR="00BA04B8">
        <w:t xml:space="preserve">  </w:t>
      </w:r>
      <w:r w:rsidR="00BA04B8" w:rsidRPr="006556A7">
        <w:rPr>
          <w:b/>
        </w:rPr>
        <w:t>You do NOT need to write any procedures for this part</w:t>
      </w:r>
      <w:r w:rsidR="00BA04B8">
        <w:t>.</w:t>
      </w:r>
    </w:p>
    <w:p w14:paraId="7820C709" w14:textId="77777777" w:rsidR="00BA04B8" w:rsidRPr="002C20CB" w:rsidRDefault="00BA04B8" w:rsidP="00BA04B8">
      <w:pPr>
        <w:widowControl w:val="0"/>
        <w:spacing w:line="240" w:lineRule="auto"/>
      </w:pPr>
      <w:r>
        <w:rPr>
          <w:b/>
        </w:rPr>
        <w:t>Programming Tasks</w:t>
      </w:r>
    </w:p>
    <w:p w14:paraId="39DCE16F" w14:textId="37FBF7CB" w:rsidR="00006D3F" w:rsidRDefault="00BA04B8" w:rsidP="00BA04B8">
      <w:r>
        <w:t xml:space="preserve">1) Open the file called </w:t>
      </w:r>
      <w:r w:rsidRPr="00791D99">
        <w:rPr>
          <w:u w:val="single"/>
        </w:rPr>
        <w:t>lab07_part</w:t>
      </w:r>
      <w:r w:rsidR="005B55EF">
        <w:rPr>
          <w:u w:val="single"/>
        </w:rPr>
        <w:t>2</w:t>
      </w:r>
      <w:r w:rsidRPr="00791D99">
        <w:rPr>
          <w:u w:val="single"/>
        </w:rPr>
        <w:t>.asm</w:t>
      </w:r>
      <w:r>
        <w:t xml:space="preserve"> in the MARS Editor.</w:t>
      </w:r>
    </w:p>
    <w:p w14:paraId="781E71D4" w14:textId="0BAF01CC" w:rsidR="00390571" w:rsidRDefault="00390571" w:rsidP="00390571">
      <w:r w:rsidRPr="00390571">
        <w:t xml:space="preserve">2) In the </w:t>
      </w:r>
      <w:r w:rsidRPr="00390571">
        <w:rPr>
          <w:i/>
        </w:rPr>
        <w:t>.data</w:t>
      </w:r>
      <w:r w:rsidRPr="00390571">
        <w:t xml:space="preserve"> segment, create an array called “</w:t>
      </w:r>
      <w:r w:rsidR="00A27973">
        <w:rPr>
          <w:i/>
        </w:rPr>
        <w:t>eq1_vals</w:t>
      </w:r>
      <w:r w:rsidRPr="00390571">
        <w:t xml:space="preserve">” that contains the single-precision floating-point values shown here:  </w:t>
      </w:r>
      <w:r w:rsidR="007A0722" w:rsidRPr="007A0722">
        <w:t>25.9, 3.14159265359</w:t>
      </w:r>
      <w:r w:rsidRPr="00390571">
        <w:t>.  Immediately after that, create a second array called “</w:t>
      </w:r>
      <w:r w:rsidR="00FA72A7">
        <w:rPr>
          <w:i/>
        </w:rPr>
        <w:t>eq2_vals</w:t>
      </w:r>
      <w:r w:rsidRPr="00390571">
        <w:t xml:space="preserve">” that contains the double-precision floating-point values shown here:  </w:t>
      </w:r>
      <w:r w:rsidR="00BD6201">
        <w:t>-44.321, 9.12, 2.53, 1</w:t>
      </w:r>
      <w:r w:rsidR="004117A0">
        <w:t>.25</w:t>
      </w:r>
      <w:r w:rsidRPr="00390571">
        <w:t>.  Use the appropriate directives, as identified in part 1, to create these arrays.</w:t>
      </w:r>
    </w:p>
    <w:p w14:paraId="5FC8667D" w14:textId="77777777" w:rsidR="00055441" w:rsidRDefault="00055441" w:rsidP="00055441">
      <w:r>
        <w:t>3) Under the “</w:t>
      </w:r>
      <w:r w:rsidRPr="005829EA">
        <w:rPr>
          <w:i/>
        </w:rPr>
        <w:t>eq1_computation</w:t>
      </w:r>
      <w:r>
        <w:t xml:space="preserve">” label in the </w:t>
      </w:r>
      <w:r w:rsidRPr="001D1046">
        <w:rPr>
          <w:i/>
        </w:rPr>
        <w:t>.text</w:t>
      </w:r>
      <w:r>
        <w:t xml:space="preserve"> section, perform the computations required for EQ#1 from the table below.  Put your result for this computation into register </w:t>
      </w:r>
      <w:r w:rsidRPr="00021741">
        <w:rPr>
          <w:b/>
        </w:rPr>
        <w:t>$f3</w:t>
      </w:r>
      <w:r>
        <w:t xml:space="preserve">.  Once you’re certain that your computation is correct, use the </w:t>
      </w:r>
      <w:r w:rsidRPr="00594546">
        <w:rPr>
          <w:i/>
        </w:rPr>
        <w:t>mfc1</w:t>
      </w:r>
      <w:r>
        <w:t xml:space="preserve"> instruction to move the result from your </w:t>
      </w:r>
      <w:r w:rsidRPr="005709E3">
        <w:rPr>
          <w:b/>
        </w:rPr>
        <w:t>$f</w:t>
      </w:r>
      <w:r>
        <w:rPr>
          <w:b/>
        </w:rPr>
        <w:t>3</w:t>
      </w:r>
      <w:r>
        <w:t xml:space="preserve"> register into register </w:t>
      </w:r>
      <w:r w:rsidRPr="00594546">
        <w:rPr>
          <w:b/>
        </w:rPr>
        <w:t>$s0</w:t>
      </w:r>
      <w:r>
        <w:t>.</w:t>
      </w:r>
    </w:p>
    <w:p w14:paraId="50D8F3C8" w14:textId="2610BD53" w:rsidR="003A443B" w:rsidRDefault="00055441" w:rsidP="00055441">
      <w:r>
        <w:t>4) Under the “</w:t>
      </w:r>
      <w:r w:rsidRPr="005829EA">
        <w:rPr>
          <w:i/>
        </w:rPr>
        <w:t>eq</w:t>
      </w:r>
      <w:r>
        <w:rPr>
          <w:i/>
        </w:rPr>
        <w:t>2</w:t>
      </w:r>
      <w:r w:rsidRPr="005829EA">
        <w:rPr>
          <w:i/>
        </w:rPr>
        <w:t>_computation</w:t>
      </w:r>
      <w:r>
        <w:t xml:space="preserve">” label in the </w:t>
      </w:r>
      <w:r w:rsidRPr="001D1046">
        <w:rPr>
          <w:i/>
        </w:rPr>
        <w:t>.text</w:t>
      </w:r>
      <w:r>
        <w:t xml:space="preserve"> section, perform the computations required for EQ#2 from the table below.  Put your result for this computation into register </w:t>
      </w:r>
      <w:r w:rsidRPr="00021741">
        <w:rPr>
          <w:b/>
        </w:rPr>
        <w:t>$f</w:t>
      </w:r>
      <w:r>
        <w:rPr>
          <w:b/>
        </w:rPr>
        <w:t>28</w:t>
      </w:r>
      <w:r>
        <w:t xml:space="preserve">.  Once you’re certain that your computation is correct, use the </w:t>
      </w:r>
      <w:r w:rsidRPr="00594546">
        <w:rPr>
          <w:i/>
        </w:rPr>
        <w:t>mfc1</w:t>
      </w:r>
      <w:r>
        <w:rPr>
          <w:i/>
        </w:rPr>
        <w:t>.d</w:t>
      </w:r>
      <w:r>
        <w:t xml:space="preserve"> instruction to move the result from your </w:t>
      </w:r>
      <w:r w:rsidRPr="005709E3">
        <w:rPr>
          <w:b/>
        </w:rPr>
        <w:t>$f</w:t>
      </w:r>
      <w:r>
        <w:rPr>
          <w:b/>
        </w:rPr>
        <w:t>28</w:t>
      </w:r>
      <w:r>
        <w:t xml:space="preserve"> register into register </w:t>
      </w:r>
      <w:r w:rsidRPr="00594546">
        <w:rPr>
          <w:b/>
        </w:rPr>
        <w:t>$</w:t>
      </w:r>
      <w:r>
        <w:rPr>
          <w:b/>
        </w:rPr>
        <w:t>t</w:t>
      </w:r>
      <w:r w:rsidRPr="00594546">
        <w:rPr>
          <w:b/>
        </w:rPr>
        <w:t>0</w:t>
      </w:r>
      <w:r>
        <w:t>.</w:t>
      </w:r>
    </w:p>
    <w:tbl>
      <w:tblPr>
        <w:tblStyle w:val="TableGrid"/>
        <w:tblW w:w="0" w:type="auto"/>
        <w:tblInd w:w="108" w:type="dxa"/>
        <w:tblBorders>
          <w:insideV w:val="single" w:sz="12" w:space="0" w:color="auto"/>
        </w:tblBorders>
        <w:tblLook w:val="04A0" w:firstRow="1" w:lastRow="0" w:firstColumn="1" w:lastColumn="0" w:noHBand="0" w:noVBand="1"/>
      </w:tblPr>
      <w:tblGrid>
        <w:gridCol w:w="990"/>
        <w:gridCol w:w="3510"/>
        <w:gridCol w:w="1620"/>
        <w:gridCol w:w="2340"/>
        <w:gridCol w:w="2448"/>
      </w:tblGrid>
      <w:tr w:rsidR="00111EE3" w14:paraId="489362EA" w14:textId="77777777" w:rsidTr="00111EE3">
        <w:trPr>
          <w:trHeight w:val="360"/>
        </w:trPr>
        <w:tc>
          <w:tcPr>
            <w:tcW w:w="990" w:type="dxa"/>
            <w:tcBorders>
              <w:bottom w:val="single" w:sz="12" w:space="0" w:color="auto"/>
            </w:tcBorders>
          </w:tcPr>
          <w:p w14:paraId="521B7C08" w14:textId="77777777" w:rsidR="00111EE3" w:rsidRPr="003E3484" w:rsidRDefault="00111EE3" w:rsidP="00960C84">
            <w:pPr>
              <w:spacing w:after="0"/>
              <w:jc w:val="center"/>
              <w:rPr>
                <w:b/>
              </w:rPr>
            </w:pPr>
          </w:p>
        </w:tc>
        <w:tc>
          <w:tcPr>
            <w:tcW w:w="3510" w:type="dxa"/>
            <w:tcBorders>
              <w:bottom w:val="single" w:sz="12" w:space="0" w:color="auto"/>
            </w:tcBorders>
            <w:vAlign w:val="center"/>
          </w:tcPr>
          <w:p w14:paraId="172766B3" w14:textId="49AECDD7" w:rsidR="00111EE3" w:rsidRPr="003E3484" w:rsidRDefault="00111EE3" w:rsidP="00960C84">
            <w:pPr>
              <w:spacing w:after="0"/>
              <w:jc w:val="center"/>
              <w:rPr>
                <w:b/>
              </w:rPr>
            </w:pPr>
            <w:r w:rsidRPr="003E3484">
              <w:rPr>
                <w:b/>
              </w:rPr>
              <w:t>Equation</w:t>
            </w:r>
            <w:r>
              <w:rPr>
                <w:b/>
              </w:rPr>
              <w:t>s</w:t>
            </w:r>
          </w:p>
        </w:tc>
        <w:tc>
          <w:tcPr>
            <w:tcW w:w="1620" w:type="dxa"/>
            <w:tcBorders>
              <w:bottom w:val="single" w:sz="12" w:space="0" w:color="auto"/>
            </w:tcBorders>
            <w:vAlign w:val="center"/>
          </w:tcPr>
          <w:p w14:paraId="5D9BAF67" w14:textId="0B4D1399" w:rsidR="00111EE3" w:rsidRPr="003E3484" w:rsidRDefault="00111EE3" w:rsidP="007154B7">
            <w:pPr>
              <w:spacing w:after="0"/>
              <w:jc w:val="center"/>
              <w:rPr>
                <w:b/>
              </w:rPr>
            </w:pPr>
            <w:r>
              <w:rPr>
                <w:b/>
              </w:rPr>
              <w:t>Input</w:t>
            </w:r>
            <w:r w:rsidRPr="003E3484">
              <w:rPr>
                <w:b/>
              </w:rPr>
              <w:t xml:space="preserve"> Values</w:t>
            </w:r>
          </w:p>
        </w:tc>
        <w:tc>
          <w:tcPr>
            <w:tcW w:w="2340" w:type="dxa"/>
            <w:tcBorders>
              <w:bottom w:val="single" w:sz="12" w:space="0" w:color="auto"/>
            </w:tcBorders>
            <w:vAlign w:val="center"/>
          </w:tcPr>
          <w:p w14:paraId="38A4DC1C" w14:textId="3528230F" w:rsidR="00111EE3" w:rsidRPr="003E3484" w:rsidRDefault="00111EE3" w:rsidP="00121CBB">
            <w:pPr>
              <w:spacing w:after="0"/>
              <w:jc w:val="center"/>
              <w:rPr>
                <w:b/>
              </w:rPr>
            </w:pPr>
            <w:r w:rsidRPr="003E3484">
              <w:rPr>
                <w:b/>
              </w:rPr>
              <w:t xml:space="preserve">Expected </w:t>
            </w:r>
            <w:r>
              <w:rPr>
                <w:b/>
              </w:rPr>
              <w:t>Output</w:t>
            </w:r>
          </w:p>
        </w:tc>
        <w:tc>
          <w:tcPr>
            <w:tcW w:w="2448" w:type="dxa"/>
            <w:tcBorders>
              <w:bottom w:val="single" w:sz="12" w:space="0" w:color="auto"/>
            </w:tcBorders>
            <w:vAlign w:val="center"/>
          </w:tcPr>
          <w:p w14:paraId="279CE1E9" w14:textId="01ABB7B9" w:rsidR="00111EE3" w:rsidRPr="003E3484" w:rsidRDefault="00111EE3" w:rsidP="00121CBB">
            <w:pPr>
              <w:spacing w:after="0"/>
              <w:jc w:val="center"/>
              <w:rPr>
                <w:b/>
              </w:rPr>
            </w:pPr>
            <w:r>
              <w:rPr>
                <w:b/>
              </w:rPr>
              <w:t>Computed</w:t>
            </w:r>
            <w:r w:rsidRPr="003E3484">
              <w:rPr>
                <w:b/>
              </w:rPr>
              <w:t xml:space="preserve"> </w:t>
            </w:r>
            <w:r>
              <w:rPr>
                <w:b/>
              </w:rPr>
              <w:t>Output</w:t>
            </w:r>
          </w:p>
        </w:tc>
      </w:tr>
      <w:tr w:rsidR="00111EE3" w14:paraId="7C4F42F8" w14:textId="77777777" w:rsidTr="00111EE3">
        <w:trPr>
          <w:trHeight w:val="720"/>
        </w:trPr>
        <w:tc>
          <w:tcPr>
            <w:tcW w:w="990" w:type="dxa"/>
            <w:tcBorders>
              <w:top w:val="single" w:sz="12" w:space="0" w:color="auto"/>
            </w:tcBorders>
            <w:vAlign w:val="center"/>
          </w:tcPr>
          <w:p w14:paraId="4EDAFEA4" w14:textId="501DCA2E" w:rsidR="00111EE3" w:rsidRPr="00111EE3" w:rsidRDefault="00111EE3" w:rsidP="00111EE3">
            <w:pPr>
              <w:spacing w:after="0"/>
              <w:jc w:val="center"/>
              <w:rPr>
                <w:rFonts w:ascii="Calibri" w:eastAsia="Calibri" w:hAnsi="Calibri" w:cs="Times New Roman"/>
                <w:b/>
              </w:rPr>
            </w:pPr>
            <w:r w:rsidRPr="00111EE3">
              <w:rPr>
                <w:rFonts w:ascii="Calibri" w:eastAsia="Calibri" w:hAnsi="Calibri" w:cs="Times New Roman"/>
                <w:b/>
              </w:rPr>
              <w:t>EQ #1</w:t>
            </w:r>
          </w:p>
        </w:tc>
        <w:tc>
          <w:tcPr>
            <w:tcW w:w="3510" w:type="dxa"/>
            <w:tcBorders>
              <w:top w:val="single" w:sz="12" w:space="0" w:color="auto"/>
            </w:tcBorders>
            <w:vAlign w:val="center"/>
          </w:tcPr>
          <w:p w14:paraId="5946787C" w14:textId="11DA3DED" w:rsidR="00111EE3" w:rsidRDefault="00111EE3" w:rsidP="00F04068">
            <w:pPr>
              <w:spacing w:after="0"/>
              <w:jc w:val="center"/>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Pr>
                <w:rFonts w:eastAsiaTheme="minorEastAsia"/>
              </w:rPr>
              <w:t xml:space="preserve"> </w:t>
            </w:r>
            <w:r>
              <w:rPr>
                <w:rFonts w:eastAsiaTheme="minorEastAsia"/>
              </w:rPr>
              <w:br/>
            </w:r>
            <w:r w:rsidRPr="003921F9">
              <w:rPr>
                <w:rFonts w:eastAsiaTheme="minorEastAsia"/>
                <w:b/>
                <w:color w:val="FF0000"/>
              </w:rPr>
              <w:t>(perform as single-precision)</w:t>
            </w:r>
          </w:p>
        </w:tc>
        <w:tc>
          <w:tcPr>
            <w:tcW w:w="1620" w:type="dxa"/>
            <w:tcBorders>
              <w:top w:val="single" w:sz="12" w:space="0" w:color="auto"/>
            </w:tcBorders>
            <w:vAlign w:val="center"/>
          </w:tcPr>
          <w:p w14:paraId="7F88FFD7" w14:textId="1734843D" w:rsidR="00111EE3" w:rsidRDefault="00111EE3" w:rsidP="00960C84">
            <w:pPr>
              <w:spacing w:after="0"/>
            </w:pPr>
            <w:r>
              <w:t>r = 25.9</w:t>
            </w:r>
          </w:p>
        </w:tc>
        <w:tc>
          <w:tcPr>
            <w:tcW w:w="2340" w:type="dxa"/>
            <w:tcBorders>
              <w:top w:val="single" w:sz="12" w:space="0" w:color="auto"/>
            </w:tcBorders>
            <w:vAlign w:val="center"/>
          </w:tcPr>
          <w:p w14:paraId="45CBD04B" w14:textId="1EC5AA3A" w:rsidR="00111EE3" w:rsidRDefault="00111EE3" w:rsidP="00960C84">
            <w:pPr>
              <w:spacing w:after="0"/>
            </w:pPr>
            <w:r>
              <w:t xml:space="preserve">A = </w:t>
            </w:r>
            <w:r w:rsidR="002520F0">
              <w:t>2,107.41176</w:t>
            </w:r>
          </w:p>
        </w:tc>
        <w:tc>
          <w:tcPr>
            <w:tcW w:w="2448" w:type="dxa"/>
            <w:tcBorders>
              <w:top w:val="single" w:sz="12" w:space="0" w:color="auto"/>
            </w:tcBorders>
            <w:vAlign w:val="center"/>
          </w:tcPr>
          <w:p w14:paraId="3702AA62" w14:textId="2678B9E0" w:rsidR="00111EE3" w:rsidRDefault="00111EE3" w:rsidP="00491F78">
            <w:pPr>
              <w:spacing w:after="0"/>
            </w:pPr>
            <w:r>
              <w:t xml:space="preserve">A = </w:t>
            </w:r>
            <w:r w:rsidR="009A71BC">
              <w:t>2,107.411</w:t>
            </w:r>
            <w:r w:rsidR="009A71BC">
              <w:t>9</w:t>
            </w:r>
            <w:bookmarkStart w:id="1" w:name="_GoBack"/>
            <w:bookmarkEnd w:id="1"/>
          </w:p>
        </w:tc>
      </w:tr>
      <w:tr w:rsidR="00111EE3" w14:paraId="34229065" w14:textId="77777777" w:rsidTr="00111EE3">
        <w:trPr>
          <w:trHeight w:val="1080"/>
        </w:trPr>
        <w:tc>
          <w:tcPr>
            <w:tcW w:w="990" w:type="dxa"/>
            <w:vAlign w:val="center"/>
          </w:tcPr>
          <w:p w14:paraId="1DF0B1D7" w14:textId="47093724" w:rsidR="00111EE3" w:rsidRPr="00111EE3" w:rsidRDefault="00111EE3" w:rsidP="00111EE3">
            <w:pPr>
              <w:spacing w:after="0"/>
              <w:jc w:val="center"/>
              <w:rPr>
                <w:rFonts w:ascii="Calibri" w:eastAsia="Calibri" w:hAnsi="Calibri" w:cs="Times New Roman"/>
                <w:b/>
              </w:rPr>
            </w:pPr>
            <w:r w:rsidRPr="00111EE3">
              <w:rPr>
                <w:rFonts w:ascii="Calibri" w:eastAsia="Calibri" w:hAnsi="Calibri" w:cs="Times New Roman"/>
                <w:b/>
              </w:rPr>
              <w:t>EQ #2</w:t>
            </w:r>
          </w:p>
        </w:tc>
        <w:tc>
          <w:tcPr>
            <w:tcW w:w="3510" w:type="dxa"/>
            <w:vAlign w:val="center"/>
          </w:tcPr>
          <w:p w14:paraId="07C92E57" w14:textId="6912C1BF" w:rsidR="00111EE3" w:rsidRDefault="00111EE3" w:rsidP="005E7AB3">
            <w:pPr>
              <w:spacing w:after="0"/>
              <w:jc w:val="center"/>
            </w:pPr>
            <m:oMathPara>
              <m:oMath>
                <m:r>
                  <w:rPr>
                    <w:rFonts w:ascii="Cambria Math" w:hAnsi="Cambria Math"/>
                  </w:rPr>
                  <m:t>z=2.53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1.25</m:t>
                    </m:r>
                  </m:num>
                  <m:den>
                    <m:r>
                      <w:rPr>
                        <w:rFonts w:ascii="Cambria Math" w:hAnsi="Cambria Math"/>
                      </w:rPr>
                      <m:t>y</m:t>
                    </m:r>
                  </m:den>
                </m:f>
                <m:r>
                  <m:rPr>
                    <m:sty m:val="p"/>
                  </m:rPr>
                  <w:rPr>
                    <w:rFonts w:ascii="Cambria Math" w:eastAsiaTheme="minorEastAsia" w:hAnsi="Cambria Math"/>
                  </w:rPr>
                  <w:br/>
                </m:r>
              </m:oMath>
            </m:oMathPara>
            <w:r w:rsidRPr="003921F9">
              <w:rPr>
                <w:rFonts w:eastAsiaTheme="minorEastAsia"/>
                <w:b/>
                <w:color w:val="FF0000"/>
              </w:rPr>
              <w:t>(perform as double-precision)</w:t>
            </w:r>
          </w:p>
        </w:tc>
        <w:tc>
          <w:tcPr>
            <w:tcW w:w="1620" w:type="dxa"/>
            <w:vAlign w:val="center"/>
          </w:tcPr>
          <w:p w14:paraId="1510A1E3" w14:textId="54C1CAA9" w:rsidR="00111EE3" w:rsidRDefault="00111EE3" w:rsidP="00FF1713">
            <w:pPr>
              <w:spacing w:after="0" w:line="480" w:lineRule="auto"/>
            </w:pPr>
            <w:r>
              <w:t>x = -44.321</w:t>
            </w:r>
          </w:p>
          <w:p w14:paraId="4C037807" w14:textId="2219720A" w:rsidR="00111EE3" w:rsidRDefault="00111EE3" w:rsidP="00234B1E">
            <w:pPr>
              <w:spacing w:after="0" w:line="240" w:lineRule="auto"/>
            </w:pPr>
            <w:r>
              <w:t>y = 9.12</w:t>
            </w:r>
          </w:p>
        </w:tc>
        <w:tc>
          <w:tcPr>
            <w:tcW w:w="2340" w:type="dxa"/>
            <w:vAlign w:val="center"/>
          </w:tcPr>
          <w:p w14:paraId="11251372" w14:textId="77777777" w:rsidR="002520F0" w:rsidRDefault="00111EE3" w:rsidP="00960C84">
            <w:pPr>
              <w:spacing w:after="0"/>
            </w:pPr>
            <w:r>
              <w:t xml:space="preserve">z = </w:t>
            </w:r>
          </w:p>
          <w:p w14:paraId="3C2075C4" w14:textId="07FB7F03" w:rsidR="00111EE3" w:rsidRDefault="002520F0" w:rsidP="00960C84">
            <w:pPr>
              <w:spacing w:after="0"/>
            </w:pPr>
            <w:r>
              <w:t>4969.945195133509</w:t>
            </w:r>
          </w:p>
        </w:tc>
        <w:tc>
          <w:tcPr>
            <w:tcW w:w="2448" w:type="dxa"/>
            <w:vAlign w:val="center"/>
          </w:tcPr>
          <w:p w14:paraId="4452B625" w14:textId="2062FD44" w:rsidR="00111EE3" w:rsidRDefault="00111EE3" w:rsidP="00491F78">
            <w:pPr>
              <w:spacing w:after="0"/>
            </w:pPr>
            <w:r>
              <w:t xml:space="preserve">z = </w:t>
            </w:r>
            <w:r w:rsidR="000B7DA9" w:rsidRPr="000B7DA9">
              <w:rPr>
                <w:color w:val="0432FF"/>
              </w:rPr>
              <w:t>??</w:t>
            </w:r>
          </w:p>
        </w:tc>
      </w:tr>
    </w:tbl>
    <w:p w14:paraId="3AF3600F" w14:textId="3743E85F" w:rsidR="008621BE" w:rsidRDefault="008621BE" w:rsidP="002A7FAA"/>
    <w:p w14:paraId="65AE01FE" w14:textId="77777777" w:rsidR="00731425" w:rsidRPr="002C20CB" w:rsidRDefault="00731425" w:rsidP="00731425">
      <w:pPr>
        <w:widowControl w:val="0"/>
        <w:spacing w:line="240" w:lineRule="auto"/>
      </w:pPr>
      <w:r>
        <w:rPr>
          <w:b/>
        </w:rPr>
        <w:t>Test Your Code</w:t>
      </w:r>
    </w:p>
    <w:p w14:paraId="5F8F4CBB" w14:textId="77777777" w:rsidR="00731425" w:rsidRDefault="00731425" w:rsidP="00731425">
      <w:pPr>
        <w:widowControl w:val="0"/>
        <w:spacing w:line="240" w:lineRule="auto"/>
      </w:pPr>
      <w:r>
        <w:t>Test your code using the supplied unit tests.  To run the supplied unit tests, open a Cygwin shell and type the following:</w:t>
      </w:r>
    </w:p>
    <w:p w14:paraId="177F8B83" w14:textId="74EB8FDF" w:rsidR="00731425" w:rsidRPr="004B039E" w:rsidRDefault="00731425" w:rsidP="00731425">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BB05A4">
        <w:rPr>
          <w:rFonts w:ascii="Courier New" w:hAnsi="Courier New" w:cs="Courier New"/>
        </w:rPr>
        <w:t>Lab07_Introduction_to_Floating_Point_Operations</w:t>
      </w:r>
      <w:r w:rsidRPr="004B039E">
        <w:rPr>
          <w:rFonts w:ascii="Courier New" w:hAnsi="Courier New" w:cs="Courier New"/>
        </w:rPr>
        <w:br/>
      </w:r>
      <w:r w:rsidRPr="004B039E">
        <w:rPr>
          <w:rFonts w:ascii="Courier New" w:hAnsi="Courier New" w:cs="Courier New"/>
        </w:rPr>
        <w:lastRenderedPageBreak/>
        <w:t xml:space="preserve">make </w:t>
      </w:r>
      <w:r>
        <w:rPr>
          <w:rFonts w:ascii="Courier New" w:hAnsi="Courier New" w:cs="Courier New"/>
        </w:rPr>
        <w:t>test_part</w:t>
      </w:r>
      <w:r w:rsidR="0031031E">
        <w:rPr>
          <w:rFonts w:ascii="Courier New" w:hAnsi="Courier New" w:cs="Courier New"/>
        </w:rPr>
        <w:t>2</w:t>
      </w:r>
    </w:p>
    <w:p w14:paraId="1317D172" w14:textId="77777777" w:rsidR="00731425" w:rsidRPr="00ED6196" w:rsidRDefault="00731425" w:rsidP="00731425">
      <w:pPr>
        <w:widowControl w:val="0"/>
        <w:spacing w:line="240" w:lineRule="auto"/>
      </w:pPr>
      <w:r>
        <w:t>You will see output that indicates if your code passed or failed the included unit tests.  If your code did NOT pass the units tests, address any errors and try running the unit</w:t>
      </w:r>
      <w:r w:rsidRPr="00ED6196">
        <w:t xml:space="preserve"> tests again.</w:t>
      </w:r>
    </w:p>
    <w:p w14:paraId="4336434D" w14:textId="77777777" w:rsidR="00C5487A" w:rsidRPr="002A7FAA" w:rsidRDefault="00C5487A" w:rsidP="002A7FAA"/>
    <w:p w14:paraId="40313223" w14:textId="22FE6997" w:rsidR="00511FE3" w:rsidRDefault="00A179CB" w:rsidP="00511FE3">
      <w:pPr>
        <w:rPr>
          <w:b/>
        </w:rPr>
      </w:pPr>
      <w:r>
        <w:rPr>
          <w:b/>
        </w:rPr>
        <w:t>4</w:t>
      </w:r>
      <w:r w:rsidR="00805428">
        <w:rPr>
          <w:b/>
        </w:rPr>
        <w:t>.</w:t>
      </w:r>
      <w:r w:rsidR="00511FE3" w:rsidRPr="000600E3">
        <w:rPr>
          <w:b/>
        </w:rPr>
        <w:t xml:space="preserve"> Submission</w:t>
      </w:r>
    </w:p>
    <w:p w14:paraId="11B81570" w14:textId="77777777" w:rsidR="00805428" w:rsidRDefault="00805428" w:rsidP="00805428">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In a Cygwin window type the commands:</w:t>
      </w:r>
    </w:p>
    <w:p w14:paraId="5E1B21A8" w14:textId="2C5931AD" w:rsidR="00805428" w:rsidRPr="004B039E" w:rsidRDefault="00805428" w:rsidP="00805428">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00B709D3" w:rsidRPr="00BB05A4">
        <w:rPr>
          <w:rFonts w:ascii="Courier New" w:hAnsi="Courier New" w:cs="Courier New"/>
        </w:rPr>
        <w:t>Lab07_Introduction_to_Floating_Point_Operations</w:t>
      </w:r>
      <w:r w:rsidRPr="004B039E">
        <w:rPr>
          <w:rFonts w:ascii="Courier New" w:hAnsi="Courier New" w:cs="Courier New"/>
        </w:rPr>
        <w:br/>
        <w:t>make submit</w:t>
      </w:r>
    </w:p>
    <w:p w14:paraId="51E71E2B" w14:textId="77777777" w:rsidR="00805428" w:rsidRDefault="00805428" w:rsidP="00805428">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0" w:history="1">
        <w:r w:rsidRPr="002F07D6">
          <w:rPr>
            <w:rStyle w:val="Hyperlink"/>
          </w:rPr>
          <w:t>Marmoset</w:t>
        </w:r>
      </w:hyperlink>
      <w:r w:rsidRPr="00EA3EB8">
        <w:t xml:space="preserve"> via the web to check the files you submitted to ensure they are correct.</w:t>
      </w:r>
    </w:p>
    <w:p w14:paraId="2A7D464B" w14:textId="77777777" w:rsidR="00805428" w:rsidRPr="00DC0964" w:rsidRDefault="00805428" w:rsidP="00805428">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p w14:paraId="256203AF" w14:textId="1601F5A1" w:rsidR="00DC0964" w:rsidRPr="00DC0964" w:rsidRDefault="00DC0964"/>
    <w:sectPr w:rsidR="00DC0964" w:rsidRPr="00DC0964" w:rsidSect="00B728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0D46" w14:textId="77777777" w:rsidR="00D0383E" w:rsidRDefault="00D0383E" w:rsidP="009C6850">
      <w:pPr>
        <w:spacing w:after="0" w:line="240" w:lineRule="auto"/>
      </w:pPr>
      <w:r>
        <w:separator/>
      </w:r>
    </w:p>
  </w:endnote>
  <w:endnote w:type="continuationSeparator" w:id="0">
    <w:p w14:paraId="6CA95911" w14:textId="77777777" w:rsidR="00D0383E" w:rsidRDefault="00D0383E" w:rsidP="009C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Color Emoji">
    <w:altName w:val="Calibri"/>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51154" w14:textId="77777777" w:rsidR="00D0383E" w:rsidRDefault="00D0383E" w:rsidP="009C6850">
      <w:pPr>
        <w:spacing w:after="0" w:line="240" w:lineRule="auto"/>
      </w:pPr>
      <w:r>
        <w:separator/>
      </w:r>
    </w:p>
  </w:footnote>
  <w:footnote w:type="continuationSeparator" w:id="0">
    <w:p w14:paraId="03613956" w14:textId="77777777" w:rsidR="00D0383E" w:rsidRDefault="00D0383E" w:rsidP="009C6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87783"/>
    <w:multiLevelType w:val="hybridMultilevel"/>
    <w:tmpl w:val="DE808B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17B19"/>
    <w:multiLevelType w:val="hybridMultilevel"/>
    <w:tmpl w:val="EFA8C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202C8"/>
    <w:multiLevelType w:val="hybridMultilevel"/>
    <w:tmpl w:val="B64A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7"/>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E47"/>
    <w:rsid w:val="00000740"/>
    <w:rsid w:val="00000DDD"/>
    <w:rsid w:val="000016DC"/>
    <w:rsid w:val="00005BF5"/>
    <w:rsid w:val="00006D3F"/>
    <w:rsid w:val="0000756C"/>
    <w:rsid w:val="000102D7"/>
    <w:rsid w:val="0001151F"/>
    <w:rsid w:val="000173AA"/>
    <w:rsid w:val="00017DCF"/>
    <w:rsid w:val="000220B4"/>
    <w:rsid w:val="000220F4"/>
    <w:rsid w:val="00026C1C"/>
    <w:rsid w:val="000276B6"/>
    <w:rsid w:val="000304D4"/>
    <w:rsid w:val="00032600"/>
    <w:rsid w:val="00032ABB"/>
    <w:rsid w:val="00034C08"/>
    <w:rsid w:val="00035C1D"/>
    <w:rsid w:val="0003615D"/>
    <w:rsid w:val="0004004A"/>
    <w:rsid w:val="000408E3"/>
    <w:rsid w:val="00043460"/>
    <w:rsid w:val="00045D80"/>
    <w:rsid w:val="00046DCD"/>
    <w:rsid w:val="00051265"/>
    <w:rsid w:val="00052D91"/>
    <w:rsid w:val="00054016"/>
    <w:rsid w:val="000551B3"/>
    <w:rsid w:val="00055345"/>
    <w:rsid w:val="00055441"/>
    <w:rsid w:val="00055CBE"/>
    <w:rsid w:val="00056AAD"/>
    <w:rsid w:val="00057AF6"/>
    <w:rsid w:val="00057F93"/>
    <w:rsid w:val="00060828"/>
    <w:rsid w:val="000628F9"/>
    <w:rsid w:val="000660CE"/>
    <w:rsid w:val="00067940"/>
    <w:rsid w:val="00071E97"/>
    <w:rsid w:val="00077124"/>
    <w:rsid w:val="00077C19"/>
    <w:rsid w:val="00082365"/>
    <w:rsid w:val="00082EED"/>
    <w:rsid w:val="00087676"/>
    <w:rsid w:val="00092AD4"/>
    <w:rsid w:val="00095238"/>
    <w:rsid w:val="000A428E"/>
    <w:rsid w:val="000A4486"/>
    <w:rsid w:val="000A4BC1"/>
    <w:rsid w:val="000A4CFD"/>
    <w:rsid w:val="000A7C20"/>
    <w:rsid w:val="000B22AD"/>
    <w:rsid w:val="000B5A92"/>
    <w:rsid w:val="000B6183"/>
    <w:rsid w:val="000B62CC"/>
    <w:rsid w:val="000B7C7D"/>
    <w:rsid w:val="000B7DA9"/>
    <w:rsid w:val="000C1D69"/>
    <w:rsid w:val="000C4063"/>
    <w:rsid w:val="000C6284"/>
    <w:rsid w:val="000C6624"/>
    <w:rsid w:val="000C7F6B"/>
    <w:rsid w:val="000D1785"/>
    <w:rsid w:val="000D1E26"/>
    <w:rsid w:val="000D2043"/>
    <w:rsid w:val="000D2664"/>
    <w:rsid w:val="000D4E4C"/>
    <w:rsid w:val="000E0F19"/>
    <w:rsid w:val="000E593F"/>
    <w:rsid w:val="000E6A56"/>
    <w:rsid w:val="000E6BC8"/>
    <w:rsid w:val="000F1029"/>
    <w:rsid w:val="000F586B"/>
    <w:rsid w:val="000F6F08"/>
    <w:rsid w:val="00101A74"/>
    <w:rsid w:val="00102135"/>
    <w:rsid w:val="0010237B"/>
    <w:rsid w:val="001042CE"/>
    <w:rsid w:val="00107928"/>
    <w:rsid w:val="00111EE3"/>
    <w:rsid w:val="00114092"/>
    <w:rsid w:val="00115C80"/>
    <w:rsid w:val="0012020B"/>
    <w:rsid w:val="00120EEF"/>
    <w:rsid w:val="00121CBB"/>
    <w:rsid w:val="00124059"/>
    <w:rsid w:val="00124582"/>
    <w:rsid w:val="001274BB"/>
    <w:rsid w:val="001333E0"/>
    <w:rsid w:val="00133F1C"/>
    <w:rsid w:val="00134E47"/>
    <w:rsid w:val="00135F62"/>
    <w:rsid w:val="001373BB"/>
    <w:rsid w:val="00140453"/>
    <w:rsid w:val="0014064A"/>
    <w:rsid w:val="001418DE"/>
    <w:rsid w:val="0014271F"/>
    <w:rsid w:val="0014542D"/>
    <w:rsid w:val="00150945"/>
    <w:rsid w:val="00151881"/>
    <w:rsid w:val="00151D9F"/>
    <w:rsid w:val="00153C84"/>
    <w:rsid w:val="00154681"/>
    <w:rsid w:val="0015694D"/>
    <w:rsid w:val="0015742D"/>
    <w:rsid w:val="001576B8"/>
    <w:rsid w:val="00157DB5"/>
    <w:rsid w:val="00161495"/>
    <w:rsid w:val="00161C7C"/>
    <w:rsid w:val="00161D13"/>
    <w:rsid w:val="001629A6"/>
    <w:rsid w:val="00162DA9"/>
    <w:rsid w:val="00165BE4"/>
    <w:rsid w:val="001671B4"/>
    <w:rsid w:val="00171551"/>
    <w:rsid w:val="0017212A"/>
    <w:rsid w:val="0018374B"/>
    <w:rsid w:val="00184463"/>
    <w:rsid w:val="00185D40"/>
    <w:rsid w:val="00186253"/>
    <w:rsid w:val="00186E24"/>
    <w:rsid w:val="00190373"/>
    <w:rsid w:val="00191B77"/>
    <w:rsid w:val="00192D9A"/>
    <w:rsid w:val="001930C7"/>
    <w:rsid w:val="001935FB"/>
    <w:rsid w:val="0019382C"/>
    <w:rsid w:val="00195478"/>
    <w:rsid w:val="001A0795"/>
    <w:rsid w:val="001A0800"/>
    <w:rsid w:val="001A13E2"/>
    <w:rsid w:val="001A62EC"/>
    <w:rsid w:val="001A6A9C"/>
    <w:rsid w:val="001A78DB"/>
    <w:rsid w:val="001B413C"/>
    <w:rsid w:val="001B5593"/>
    <w:rsid w:val="001C1964"/>
    <w:rsid w:val="001C1F75"/>
    <w:rsid w:val="001C1FA3"/>
    <w:rsid w:val="001C2AE8"/>
    <w:rsid w:val="001C3953"/>
    <w:rsid w:val="001C4BA1"/>
    <w:rsid w:val="001C4EA5"/>
    <w:rsid w:val="001C536B"/>
    <w:rsid w:val="001D1046"/>
    <w:rsid w:val="001D37A2"/>
    <w:rsid w:val="001D528E"/>
    <w:rsid w:val="001D690A"/>
    <w:rsid w:val="001E01E8"/>
    <w:rsid w:val="001E0C21"/>
    <w:rsid w:val="001E4CB8"/>
    <w:rsid w:val="001E507A"/>
    <w:rsid w:val="001E7375"/>
    <w:rsid w:val="001F2369"/>
    <w:rsid w:val="001F2661"/>
    <w:rsid w:val="001F2D9C"/>
    <w:rsid w:val="001F344D"/>
    <w:rsid w:val="001F41DE"/>
    <w:rsid w:val="001F533E"/>
    <w:rsid w:val="001F543E"/>
    <w:rsid w:val="001F6491"/>
    <w:rsid w:val="001F6D8A"/>
    <w:rsid w:val="001F769D"/>
    <w:rsid w:val="001F7FE5"/>
    <w:rsid w:val="00200F66"/>
    <w:rsid w:val="002050A8"/>
    <w:rsid w:val="00210742"/>
    <w:rsid w:val="00210907"/>
    <w:rsid w:val="00210DB9"/>
    <w:rsid w:val="00213466"/>
    <w:rsid w:val="002140CB"/>
    <w:rsid w:val="002145D5"/>
    <w:rsid w:val="00216CB5"/>
    <w:rsid w:val="00216FF7"/>
    <w:rsid w:val="00220810"/>
    <w:rsid w:val="00221B95"/>
    <w:rsid w:val="002247A7"/>
    <w:rsid w:val="00225F94"/>
    <w:rsid w:val="002261B6"/>
    <w:rsid w:val="002267A0"/>
    <w:rsid w:val="00230B2E"/>
    <w:rsid w:val="00232F4E"/>
    <w:rsid w:val="00233371"/>
    <w:rsid w:val="0023452D"/>
    <w:rsid w:val="00234B1E"/>
    <w:rsid w:val="00234C84"/>
    <w:rsid w:val="00235468"/>
    <w:rsid w:val="002356B7"/>
    <w:rsid w:val="002363A7"/>
    <w:rsid w:val="00236F9F"/>
    <w:rsid w:val="00237035"/>
    <w:rsid w:val="002407BC"/>
    <w:rsid w:val="0024272B"/>
    <w:rsid w:val="00243F5F"/>
    <w:rsid w:val="00247434"/>
    <w:rsid w:val="0025024D"/>
    <w:rsid w:val="002516C2"/>
    <w:rsid w:val="002520F0"/>
    <w:rsid w:val="00253F44"/>
    <w:rsid w:val="00256734"/>
    <w:rsid w:val="00260222"/>
    <w:rsid w:val="00261C94"/>
    <w:rsid w:val="00262748"/>
    <w:rsid w:val="0026446D"/>
    <w:rsid w:val="002655CB"/>
    <w:rsid w:val="00266BD0"/>
    <w:rsid w:val="002716FD"/>
    <w:rsid w:val="00271BA4"/>
    <w:rsid w:val="00273007"/>
    <w:rsid w:val="002734CD"/>
    <w:rsid w:val="002739C7"/>
    <w:rsid w:val="00273F01"/>
    <w:rsid w:val="00275D28"/>
    <w:rsid w:val="0028098F"/>
    <w:rsid w:val="002813F7"/>
    <w:rsid w:val="002815C0"/>
    <w:rsid w:val="00282F40"/>
    <w:rsid w:val="00284F88"/>
    <w:rsid w:val="00291E61"/>
    <w:rsid w:val="00294C74"/>
    <w:rsid w:val="00294CF6"/>
    <w:rsid w:val="00296C36"/>
    <w:rsid w:val="002978D0"/>
    <w:rsid w:val="002979CE"/>
    <w:rsid w:val="002A0460"/>
    <w:rsid w:val="002A14C2"/>
    <w:rsid w:val="002A17AF"/>
    <w:rsid w:val="002A24F7"/>
    <w:rsid w:val="002A7461"/>
    <w:rsid w:val="002A7FAA"/>
    <w:rsid w:val="002B0E3E"/>
    <w:rsid w:val="002B1358"/>
    <w:rsid w:val="002B31C0"/>
    <w:rsid w:val="002B3782"/>
    <w:rsid w:val="002C13AF"/>
    <w:rsid w:val="002C20CB"/>
    <w:rsid w:val="002C4BE0"/>
    <w:rsid w:val="002D4A35"/>
    <w:rsid w:val="002E000B"/>
    <w:rsid w:val="002E343F"/>
    <w:rsid w:val="002E4CE0"/>
    <w:rsid w:val="002E68F4"/>
    <w:rsid w:val="002E73B6"/>
    <w:rsid w:val="00300463"/>
    <w:rsid w:val="00301A2A"/>
    <w:rsid w:val="003045F5"/>
    <w:rsid w:val="0030501F"/>
    <w:rsid w:val="00306CAF"/>
    <w:rsid w:val="0031031E"/>
    <w:rsid w:val="00310DA6"/>
    <w:rsid w:val="00311A44"/>
    <w:rsid w:val="00312DFB"/>
    <w:rsid w:val="003139C9"/>
    <w:rsid w:val="00316CEA"/>
    <w:rsid w:val="00317810"/>
    <w:rsid w:val="00320229"/>
    <w:rsid w:val="00322FC8"/>
    <w:rsid w:val="00323839"/>
    <w:rsid w:val="0032798D"/>
    <w:rsid w:val="003303D4"/>
    <w:rsid w:val="00330AE9"/>
    <w:rsid w:val="00332119"/>
    <w:rsid w:val="00342D3A"/>
    <w:rsid w:val="00343187"/>
    <w:rsid w:val="00343AB8"/>
    <w:rsid w:val="0034425D"/>
    <w:rsid w:val="003444ED"/>
    <w:rsid w:val="00344E9A"/>
    <w:rsid w:val="003531AF"/>
    <w:rsid w:val="00355DBF"/>
    <w:rsid w:val="00356B8C"/>
    <w:rsid w:val="0036039C"/>
    <w:rsid w:val="00364873"/>
    <w:rsid w:val="00366F30"/>
    <w:rsid w:val="0036745D"/>
    <w:rsid w:val="003729F3"/>
    <w:rsid w:val="00374436"/>
    <w:rsid w:val="003765EC"/>
    <w:rsid w:val="00382169"/>
    <w:rsid w:val="00384D72"/>
    <w:rsid w:val="00384FD6"/>
    <w:rsid w:val="00386557"/>
    <w:rsid w:val="00390039"/>
    <w:rsid w:val="00390571"/>
    <w:rsid w:val="003906A5"/>
    <w:rsid w:val="00390E4A"/>
    <w:rsid w:val="00391434"/>
    <w:rsid w:val="003921F9"/>
    <w:rsid w:val="003945C7"/>
    <w:rsid w:val="00397198"/>
    <w:rsid w:val="003A0012"/>
    <w:rsid w:val="003A443B"/>
    <w:rsid w:val="003A4490"/>
    <w:rsid w:val="003B2125"/>
    <w:rsid w:val="003B3103"/>
    <w:rsid w:val="003B6580"/>
    <w:rsid w:val="003B679C"/>
    <w:rsid w:val="003B7C55"/>
    <w:rsid w:val="003C1A65"/>
    <w:rsid w:val="003C1C09"/>
    <w:rsid w:val="003C314C"/>
    <w:rsid w:val="003C54CA"/>
    <w:rsid w:val="003C554E"/>
    <w:rsid w:val="003D2A70"/>
    <w:rsid w:val="003D6D78"/>
    <w:rsid w:val="003D6F46"/>
    <w:rsid w:val="003D7C0C"/>
    <w:rsid w:val="003E17D4"/>
    <w:rsid w:val="003E3176"/>
    <w:rsid w:val="003E3484"/>
    <w:rsid w:val="003E3956"/>
    <w:rsid w:val="003E586F"/>
    <w:rsid w:val="003E7DDB"/>
    <w:rsid w:val="003F00B7"/>
    <w:rsid w:val="003F073D"/>
    <w:rsid w:val="003F6BAD"/>
    <w:rsid w:val="003F72F7"/>
    <w:rsid w:val="004033C0"/>
    <w:rsid w:val="00406D0E"/>
    <w:rsid w:val="004073C5"/>
    <w:rsid w:val="00407E0E"/>
    <w:rsid w:val="00411193"/>
    <w:rsid w:val="004117A0"/>
    <w:rsid w:val="00412363"/>
    <w:rsid w:val="00413363"/>
    <w:rsid w:val="004143AE"/>
    <w:rsid w:val="00414FC4"/>
    <w:rsid w:val="0041517B"/>
    <w:rsid w:val="00422533"/>
    <w:rsid w:val="00422B00"/>
    <w:rsid w:val="0042579C"/>
    <w:rsid w:val="00426D74"/>
    <w:rsid w:val="00431DFE"/>
    <w:rsid w:val="00431DFF"/>
    <w:rsid w:val="0043268A"/>
    <w:rsid w:val="004368FD"/>
    <w:rsid w:val="0044102A"/>
    <w:rsid w:val="00441188"/>
    <w:rsid w:val="00441209"/>
    <w:rsid w:val="00442027"/>
    <w:rsid w:val="00444861"/>
    <w:rsid w:val="00450142"/>
    <w:rsid w:val="0045032A"/>
    <w:rsid w:val="00452BFC"/>
    <w:rsid w:val="004539EF"/>
    <w:rsid w:val="00455DF6"/>
    <w:rsid w:val="00460FA2"/>
    <w:rsid w:val="0046174F"/>
    <w:rsid w:val="00462B5E"/>
    <w:rsid w:val="004646E7"/>
    <w:rsid w:val="004653A0"/>
    <w:rsid w:val="00471B02"/>
    <w:rsid w:val="0047242E"/>
    <w:rsid w:val="004778A8"/>
    <w:rsid w:val="0048134A"/>
    <w:rsid w:val="0048275C"/>
    <w:rsid w:val="00487321"/>
    <w:rsid w:val="00491F78"/>
    <w:rsid w:val="00493264"/>
    <w:rsid w:val="00493F1B"/>
    <w:rsid w:val="0049596E"/>
    <w:rsid w:val="004961EF"/>
    <w:rsid w:val="0049764F"/>
    <w:rsid w:val="0049795E"/>
    <w:rsid w:val="004A0B53"/>
    <w:rsid w:val="004A28E4"/>
    <w:rsid w:val="004A336F"/>
    <w:rsid w:val="004A37FC"/>
    <w:rsid w:val="004B0CC3"/>
    <w:rsid w:val="004B3496"/>
    <w:rsid w:val="004B3632"/>
    <w:rsid w:val="004B561C"/>
    <w:rsid w:val="004C1EA9"/>
    <w:rsid w:val="004C24E2"/>
    <w:rsid w:val="004C3360"/>
    <w:rsid w:val="004C6AB3"/>
    <w:rsid w:val="004D04A3"/>
    <w:rsid w:val="004D3A82"/>
    <w:rsid w:val="004D4D00"/>
    <w:rsid w:val="004D6042"/>
    <w:rsid w:val="004E09CE"/>
    <w:rsid w:val="004E129D"/>
    <w:rsid w:val="004E1453"/>
    <w:rsid w:val="004E28D9"/>
    <w:rsid w:val="004E2D1B"/>
    <w:rsid w:val="004E5268"/>
    <w:rsid w:val="004E5903"/>
    <w:rsid w:val="004E7E9F"/>
    <w:rsid w:val="004F17BF"/>
    <w:rsid w:val="004F4211"/>
    <w:rsid w:val="0050269A"/>
    <w:rsid w:val="00511FE3"/>
    <w:rsid w:val="00512346"/>
    <w:rsid w:val="0051620A"/>
    <w:rsid w:val="00521D83"/>
    <w:rsid w:val="0052202A"/>
    <w:rsid w:val="0052204E"/>
    <w:rsid w:val="00527EC9"/>
    <w:rsid w:val="005302D3"/>
    <w:rsid w:val="00532A30"/>
    <w:rsid w:val="0053349E"/>
    <w:rsid w:val="005361B4"/>
    <w:rsid w:val="005364CA"/>
    <w:rsid w:val="0053798F"/>
    <w:rsid w:val="00541F0F"/>
    <w:rsid w:val="0054226E"/>
    <w:rsid w:val="0054531E"/>
    <w:rsid w:val="00546626"/>
    <w:rsid w:val="0055222A"/>
    <w:rsid w:val="00552CCE"/>
    <w:rsid w:val="00553526"/>
    <w:rsid w:val="00554783"/>
    <w:rsid w:val="00556CD5"/>
    <w:rsid w:val="0056043F"/>
    <w:rsid w:val="005674C6"/>
    <w:rsid w:val="005709E3"/>
    <w:rsid w:val="005738CB"/>
    <w:rsid w:val="005772A0"/>
    <w:rsid w:val="005828D2"/>
    <w:rsid w:val="005829EA"/>
    <w:rsid w:val="0058310A"/>
    <w:rsid w:val="0058319F"/>
    <w:rsid w:val="00583210"/>
    <w:rsid w:val="00585802"/>
    <w:rsid w:val="00585E84"/>
    <w:rsid w:val="00593F05"/>
    <w:rsid w:val="00594019"/>
    <w:rsid w:val="00594546"/>
    <w:rsid w:val="005947B7"/>
    <w:rsid w:val="00597512"/>
    <w:rsid w:val="00597AE9"/>
    <w:rsid w:val="005A16B8"/>
    <w:rsid w:val="005A43B2"/>
    <w:rsid w:val="005B02E6"/>
    <w:rsid w:val="005B2033"/>
    <w:rsid w:val="005B3A5B"/>
    <w:rsid w:val="005B55EF"/>
    <w:rsid w:val="005C011A"/>
    <w:rsid w:val="005C48FF"/>
    <w:rsid w:val="005C59B9"/>
    <w:rsid w:val="005C60A2"/>
    <w:rsid w:val="005D150E"/>
    <w:rsid w:val="005D235A"/>
    <w:rsid w:val="005D2D71"/>
    <w:rsid w:val="005E2561"/>
    <w:rsid w:val="005E2A5B"/>
    <w:rsid w:val="005E58C0"/>
    <w:rsid w:val="005E7AB3"/>
    <w:rsid w:val="005F0E59"/>
    <w:rsid w:val="005F39B6"/>
    <w:rsid w:val="005F3EA9"/>
    <w:rsid w:val="005F4A5A"/>
    <w:rsid w:val="005F5BF6"/>
    <w:rsid w:val="005F6804"/>
    <w:rsid w:val="005F6E8C"/>
    <w:rsid w:val="005F7B9B"/>
    <w:rsid w:val="006003E8"/>
    <w:rsid w:val="0060278F"/>
    <w:rsid w:val="006035E5"/>
    <w:rsid w:val="0061219E"/>
    <w:rsid w:val="00617B15"/>
    <w:rsid w:val="00620CCD"/>
    <w:rsid w:val="006214B6"/>
    <w:rsid w:val="006257AA"/>
    <w:rsid w:val="0062733C"/>
    <w:rsid w:val="0063197C"/>
    <w:rsid w:val="00632BFC"/>
    <w:rsid w:val="00635D2F"/>
    <w:rsid w:val="006362B8"/>
    <w:rsid w:val="00642CA9"/>
    <w:rsid w:val="00643305"/>
    <w:rsid w:val="00647A0A"/>
    <w:rsid w:val="0065055C"/>
    <w:rsid w:val="0065107C"/>
    <w:rsid w:val="00652EB5"/>
    <w:rsid w:val="006531F9"/>
    <w:rsid w:val="006540CB"/>
    <w:rsid w:val="006556A7"/>
    <w:rsid w:val="006605EF"/>
    <w:rsid w:val="00662846"/>
    <w:rsid w:val="006632BA"/>
    <w:rsid w:val="0066412F"/>
    <w:rsid w:val="00666947"/>
    <w:rsid w:val="00667635"/>
    <w:rsid w:val="00671055"/>
    <w:rsid w:val="00671B6B"/>
    <w:rsid w:val="006749D9"/>
    <w:rsid w:val="00675CD8"/>
    <w:rsid w:val="006773AF"/>
    <w:rsid w:val="00677623"/>
    <w:rsid w:val="00681219"/>
    <w:rsid w:val="006818C8"/>
    <w:rsid w:val="00681BFD"/>
    <w:rsid w:val="006848C6"/>
    <w:rsid w:val="006855E6"/>
    <w:rsid w:val="00687956"/>
    <w:rsid w:val="0069657D"/>
    <w:rsid w:val="006A0475"/>
    <w:rsid w:val="006A1B10"/>
    <w:rsid w:val="006A3936"/>
    <w:rsid w:val="006A4CBD"/>
    <w:rsid w:val="006A5F41"/>
    <w:rsid w:val="006A6E27"/>
    <w:rsid w:val="006B228A"/>
    <w:rsid w:val="006B3304"/>
    <w:rsid w:val="006B429D"/>
    <w:rsid w:val="006B5634"/>
    <w:rsid w:val="006C1039"/>
    <w:rsid w:val="006C2F50"/>
    <w:rsid w:val="006C33BD"/>
    <w:rsid w:val="006C34E2"/>
    <w:rsid w:val="006C36A6"/>
    <w:rsid w:val="006C37A0"/>
    <w:rsid w:val="006C3C6E"/>
    <w:rsid w:val="006C6336"/>
    <w:rsid w:val="006C7E30"/>
    <w:rsid w:val="006D1255"/>
    <w:rsid w:val="006D173F"/>
    <w:rsid w:val="006D1C46"/>
    <w:rsid w:val="006D24BA"/>
    <w:rsid w:val="006D6F80"/>
    <w:rsid w:val="006D70B6"/>
    <w:rsid w:val="006D7F06"/>
    <w:rsid w:val="006E5C7C"/>
    <w:rsid w:val="006F47DB"/>
    <w:rsid w:val="006F7276"/>
    <w:rsid w:val="00700D66"/>
    <w:rsid w:val="00702FFA"/>
    <w:rsid w:val="00707ECF"/>
    <w:rsid w:val="00711C1A"/>
    <w:rsid w:val="007149CA"/>
    <w:rsid w:val="007149DE"/>
    <w:rsid w:val="00714AEB"/>
    <w:rsid w:val="007154B7"/>
    <w:rsid w:val="00715B65"/>
    <w:rsid w:val="00717243"/>
    <w:rsid w:val="0072165C"/>
    <w:rsid w:val="00721B3A"/>
    <w:rsid w:val="007241F2"/>
    <w:rsid w:val="00731425"/>
    <w:rsid w:val="00735F2B"/>
    <w:rsid w:val="00737487"/>
    <w:rsid w:val="00747607"/>
    <w:rsid w:val="0075039E"/>
    <w:rsid w:val="00751CE0"/>
    <w:rsid w:val="00753177"/>
    <w:rsid w:val="00753500"/>
    <w:rsid w:val="00755A59"/>
    <w:rsid w:val="00755C8C"/>
    <w:rsid w:val="007578B3"/>
    <w:rsid w:val="007618AD"/>
    <w:rsid w:val="00762CD0"/>
    <w:rsid w:val="00767269"/>
    <w:rsid w:val="0077085E"/>
    <w:rsid w:val="00774895"/>
    <w:rsid w:val="0078212E"/>
    <w:rsid w:val="00783CDA"/>
    <w:rsid w:val="007906BE"/>
    <w:rsid w:val="00790CB5"/>
    <w:rsid w:val="00791AA0"/>
    <w:rsid w:val="00791D99"/>
    <w:rsid w:val="00793389"/>
    <w:rsid w:val="00794520"/>
    <w:rsid w:val="007A0722"/>
    <w:rsid w:val="007A706F"/>
    <w:rsid w:val="007B14B7"/>
    <w:rsid w:val="007C367C"/>
    <w:rsid w:val="007C3E72"/>
    <w:rsid w:val="007D223D"/>
    <w:rsid w:val="007D34A6"/>
    <w:rsid w:val="007D45D3"/>
    <w:rsid w:val="007D5F77"/>
    <w:rsid w:val="007D7D92"/>
    <w:rsid w:val="007E0D94"/>
    <w:rsid w:val="007E5C2A"/>
    <w:rsid w:val="007E76A3"/>
    <w:rsid w:val="007F3ABB"/>
    <w:rsid w:val="007F6832"/>
    <w:rsid w:val="00800C1D"/>
    <w:rsid w:val="008039D0"/>
    <w:rsid w:val="00805428"/>
    <w:rsid w:val="008062B7"/>
    <w:rsid w:val="00806837"/>
    <w:rsid w:val="00807675"/>
    <w:rsid w:val="00814283"/>
    <w:rsid w:val="0081614D"/>
    <w:rsid w:val="00820619"/>
    <w:rsid w:val="008209ED"/>
    <w:rsid w:val="00820BAA"/>
    <w:rsid w:val="008212AC"/>
    <w:rsid w:val="00821BEF"/>
    <w:rsid w:val="00823302"/>
    <w:rsid w:val="00826F69"/>
    <w:rsid w:val="00827752"/>
    <w:rsid w:val="00834D78"/>
    <w:rsid w:val="008355AF"/>
    <w:rsid w:val="00835BA8"/>
    <w:rsid w:val="008365C0"/>
    <w:rsid w:val="008373DF"/>
    <w:rsid w:val="008410A1"/>
    <w:rsid w:val="00841444"/>
    <w:rsid w:val="00842E82"/>
    <w:rsid w:val="008444D0"/>
    <w:rsid w:val="00845255"/>
    <w:rsid w:val="00847E4C"/>
    <w:rsid w:val="008501F3"/>
    <w:rsid w:val="0085355D"/>
    <w:rsid w:val="00853CA3"/>
    <w:rsid w:val="00856D62"/>
    <w:rsid w:val="0085786A"/>
    <w:rsid w:val="00860D70"/>
    <w:rsid w:val="00861682"/>
    <w:rsid w:val="008617F5"/>
    <w:rsid w:val="008621BE"/>
    <w:rsid w:val="00862B25"/>
    <w:rsid w:val="008640D2"/>
    <w:rsid w:val="00865729"/>
    <w:rsid w:val="00866314"/>
    <w:rsid w:val="00866576"/>
    <w:rsid w:val="008679EF"/>
    <w:rsid w:val="00871C7D"/>
    <w:rsid w:val="00871E61"/>
    <w:rsid w:val="00873AA6"/>
    <w:rsid w:val="00874844"/>
    <w:rsid w:val="00874E0D"/>
    <w:rsid w:val="0087759F"/>
    <w:rsid w:val="008862C1"/>
    <w:rsid w:val="008909D3"/>
    <w:rsid w:val="008910FC"/>
    <w:rsid w:val="00891C6F"/>
    <w:rsid w:val="0089443B"/>
    <w:rsid w:val="0089454A"/>
    <w:rsid w:val="008A0751"/>
    <w:rsid w:val="008A19F3"/>
    <w:rsid w:val="008A4E8F"/>
    <w:rsid w:val="008A517A"/>
    <w:rsid w:val="008A61E6"/>
    <w:rsid w:val="008A79B0"/>
    <w:rsid w:val="008B03F9"/>
    <w:rsid w:val="008B4D33"/>
    <w:rsid w:val="008B56D4"/>
    <w:rsid w:val="008C550F"/>
    <w:rsid w:val="008C691D"/>
    <w:rsid w:val="008C6FF5"/>
    <w:rsid w:val="008D0673"/>
    <w:rsid w:val="008D665E"/>
    <w:rsid w:val="008E066D"/>
    <w:rsid w:val="008E0E75"/>
    <w:rsid w:val="008E34F2"/>
    <w:rsid w:val="008E6EF2"/>
    <w:rsid w:val="008E7326"/>
    <w:rsid w:val="008F2CED"/>
    <w:rsid w:val="008F3C3E"/>
    <w:rsid w:val="008F4E01"/>
    <w:rsid w:val="008F54A7"/>
    <w:rsid w:val="008F710D"/>
    <w:rsid w:val="0090493E"/>
    <w:rsid w:val="00904FF8"/>
    <w:rsid w:val="009070A1"/>
    <w:rsid w:val="00914CC7"/>
    <w:rsid w:val="009205B6"/>
    <w:rsid w:val="0092255D"/>
    <w:rsid w:val="00923128"/>
    <w:rsid w:val="00924C86"/>
    <w:rsid w:val="00925CD8"/>
    <w:rsid w:val="00926868"/>
    <w:rsid w:val="00930398"/>
    <w:rsid w:val="009311DD"/>
    <w:rsid w:val="00931B7B"/>
    <w:rsid w:val="00933638"/>
    <w:rsid w:val="00934967"/>
    <w:rsid w:val="00942A1F"/>
    <w:rsid w:val="00945308"/>
    <w:rsid w:val="00946F29"/>
    <w:rsid w:val="00954705"/>
    <w:rsid w:val="0095668B"/>
    <w:rsid w:val="009603A1"/>
    <w:rsid w:val="00960C84"/>
    <w:rsid w:val="00967F8D"/>
    <w:rsid w:val="009752A8"/>
    <w:rsid w:val="00976B03"/>
    <w:rsid w:val="00983C6D"/>
    <w:rsid w:val="009877A3"/>
    <w:rsid w:val="009926A1"/>
    <w:rsid w:val="00994156"/>
    <w:rsid w:val="009957D3"/>
    <w:rsid w:val="00995C76"/>
    <w:rsid w:val="009A562F"/>
    <w:rsid w:val="009A71BC"/>
    <w:rsid w:val="009A76A5"/>
    <w:rsid w:val="009B0F10"/>
    <w:rsid w:val="009B4A4D"/>
    <w:rsid w:val="009B7E09"/>
    <w:rsid w:val="009C1247"/>
    <w:rsid w:val="009C4318"/>
    <w:rsid w:val="009C6850"/>
    <w:rsid w:val="009C6A0B"/>
    <w:rsid w:val="009D53DB"/>
    <w:rsid w:val="009D67CD"/>
    <w:rsid w:val="009D6C91"/>
    <w:rsid w:val="009D6F0E"/>
    <w:rsid w:val="009E18C5"/>
    <w:rsid w:val="009E2A89"/>
    <w:rsid w:val="009E4666"/>
    <w:rsid w:val="009E7D00"/>
    <w:rsid w:val="009F22F1"/>
    <w:rsid w:val="009F568D"/>
    <w:rsid w:val="009F590D"/>
    <w:rsid w:val="00A012C5"/>
    <w:rsid w:val="00A0359A"/>
    <w:rsid w:val="00A05A7A"/>
    <w:rsid w:val="00A10A6A"/>
    <w:rsid w:val="00A11982"/>
    <w:rsid w:val="00A11B1F"/>
    <w:rsid w:val="00A12273"/>
    <w:rsid w:val="00A179CB"/>
    <w:rsid w:val="00A20B9E"/>
    <w:rsid w:val="00A2143F"/>
    <w:rsid w:val="00A21F48"/>
    <w:rsid w:val="00A22249"/>
    <w:rsid w:val="00A22710"/>
    <w:rsid w:val="00A24392"/>
    <w:rsid w:val="00A2688A"/>
    <w:rsid w:val="00A27973"/>
    <w:rsid w:val="00A27E7E"/>
    <w:rsid w:val="00A35B09"/>
    <w:rsid w:val="00A403C4"/>
    <w:rsid w:val="00A41F47"/>
    <w:rsid w:val="00A42F3F"/>
    <w:rsid w:val="00A46E0D"/>
    <w:rsid w:val="00A4773B"/>
    <w:rsid w:val="00A5543E"/>
    <w:rsid w:val="00A5581B"/>
    <w:rsid w:val="00A55DAA"/>
    <w:rsid w:val="00A61762"/>
    <w:rsid w:val="00A726A6"/>
    <w:rsid w:val="00A7483B"/>
    <w:rsid w:val="00A75ACF"/>
    <w:rsid w:val="00A76CB3"/>
    <w:rsid w:val="00A77AA7"/>
    <w:rsid w:val="00A77F4B"/>
    <w:rsid w:val="00A81424"/>
    <w:rsid w:val="00A834DE"/>
    <w:rsid w:val="00A83583"/>
    <w:rsid w:val="00A85FC2"/>
    <w:rsid w:val="00A86241"/>
    <w:rsid w:val="00A862E2"/>
    <w:rsid w:val="00A90B54"/>
    <w:rsid w:val="00A91D27"/>
    <w:rsid w:val="00A93DB5"/>
    <w:rsid w:val="00A96DE7"/>
    <w:rsid w:val="00AA5526"/>
    <w:rsid w:val="00AA656F"/>
    <w:rsid w:val="00AB0F31"/>
    <w:rsid w:val="00AB158D"/>
    <w:rsid w:val="00AB1940"/>
    <w:rsid w:val="00AB25DE"/>
    <w:rsid w:val="00AB6CB6"/>
    <w:rsid w:val="00AB72FF"/>
    <w:rsid w:val="00AB7652"/>
    <w:rsid w:val="00AC067C"/>
    <w:rsid w:val="00AC0A3E"/>
    <w:rsid w:val="00AC0E4E"/>
    <w:rsid w:val="00AC2AD5"/>
    <w:rsid w:val="00AC2F4B"/>
    <w:rsid w:val="00AC476D"/>
    <w:rsid w:val="00AC503C"/>
    <w:rsid w:val="00AD0403"/>
    <w:rsid w:val="00AD2CA5"/>
    <w:rsid w:val="00AD3DA5"/>
    <w:rsid w:val="00AD4FE4"/>
    <w:rsid w:val="00AE2C8D"/>
    <w:rsid w:val="00AE5CBC"/>
    <w:rsid w:val="00AE77BC"/>
    <w:rsid w:val="00AF3D8A"/>
    <w:rsid w:val="00AF6711"/>
    <w:rsid w:val="00AF6B5C"/>
    <w:rsid w:val="00AF7BAD"/>
    <w:rsid w:val="00B00EE7"/>
    <w:rsid w:val="00B0311F"/>
    <w:rsid w:val="00B032A2"/>
    <w:rsid w:val="00B067D6"/>
    <w:rsid w:val="00B10C8E"/>
    <w:rsid w:val="00B10D02"/>
    <w:rsid w:val="00B1187E"/>
    <w:rsid w:val="00B12CF9"/>
    <w:rsid w:val="00B16586"/>
    <w:rsid w:val="00B16B9F"/>
    <w:rsid w:val="00B20192"/>
    <w:rsid w:val="00B258DC"/>
    <w:rsid w:val="00B30056"/>
    <w:rsid w:val="00B32293"/>
    <w:rsid w:val="00B330E4"/>
    <w:rsid w:val="00B33115"/>
    <w:rsid w:val="00B33576"/>
    <w:rsid w:val="00B36442"/>
    <w:rsid w:val="00B3767A"/>
    <w:rsid w:val="00B37CC7"/>
    <w:rsid w:val="00B4017E"/>
    <w:rsid w:val="00B429F4"/>
    <w:rsid w:val="00B459F4"/>
    <w:rsid w:val="00B52E9F"/>
    <w:rsid w:val="00B54664"/>
    <w:rsid w:val="00B54B7F"/>
    <w:rsid w:val="00B5577F"/>
    <w:rsid w:val="00B61A82"/>
    <w:rsid w:val="00B63CEB"/>
    <w:rsid w:val="00B66911"/>
    <w:rsid w:val="00B67440"/>
    <w:rsid w:val="00B709D3"/>
    <w:rsid w:val="00B71A74"/>
    <w:rsid w:val="00B72884"/>
    <w:rsid w:val="00B7488C"/>
    <w:rsid w:val="00B7664C"/>
    <w:rsid w:val="00B850D1"/>
    <w:rsid w:val="00B85800"/>
    <w:rsid w:val="00B914AE"/>
    <w:rsid w:val="00B943B9"/>
    <w:rsid w:val="00B94C23"/>
    <w:rsid w:val="00B96AAC"/>
    <w:rsid w:val="00BA04B8"/>
    <w:rsid w:val="00BA1072"/>
    <w:rsid w:val="00BA1C6C"/>
    <w:rsid w:val="00BA1FB3"/>
    <w:rsid w:val="00BA5B4D"/>
    <w:rsid w:val="00BA63D6"/>
    <w:rsid w:val="00BA660B"/>
    <w:rsid w:val="00BA67EB"/>
    <w:rsid w:val="00BB01E3"/>
    <w:rsid w:val="00BB05A4"/>
    <w:rsid w:val="00BB4396"/>
    <w:rsid w:val="00BB4768"/>
    <w:rsid w:val="00BB6B73"/>
    <w:rsid w:val="00BB7870"/>
    <w:rsid w:val="00BC2AEA"/>
    <w:rsid w:val="00BC2F90"/>
    <w:rsid w:val="00BC38A4"/>
    <w:rsid w:val="00BC3B53"/>
    <w:rsid w:val="00BC57C6"/>
    <w:rsid w:val="00BD58AA"/>
    <w:rsid w:val="00BD6201"/>
    <w:rsid w:val="00BE2B3E"/>
    <w:rsid w:val="00BE53A3"/>
    <w:rsid w:val="00BE5963"/>
    <w:rsid w:val="00BF1967"/>
    <w:rsid w:val="00BF4944"/>
    <w:rsid w:val="00BF4E2F"/>
    <w:rsid w:val="00BF5946"/>
    <w:rsid w:val="00BF5A1D"/>
    <w:rsid w:val="00C025A5"/>
    <w:rsid w:val="00C0771A"/>
    <w:rsid w:val="00C102DC"/>
    <w:rsid w:val="00C10D5C"/>
    <w:rsid w:val="00C17A12"/>
    <w:rsid w:val="00C235F2"/>
    <w:rsid w:val="00C32E84"/>
    <w:rsid w:val="00C32EF8"/>
    <w:rsid w:val="00C35FF4"/>
    <w:rsid w:val="00C36F4C"/>
    <w:rsid w:val="00C3783A"/>
    <w:rsid w:val="00C41F91"/>
    <w:rsid w:val="00C4484C"/>
    <w:rsid w:val="00C45C2F"/>
    <w:rsid w:val="00C51E19"/>
    <w:rsid w:val="00C51F55"/>
    <w:rsid w:val="00C52624"/>
    <w:rsid w:val="00C535EB"/>
    <w:rsid w:val="00C5487A"/>
    <w:rsid w:val="00C54E0B"/>
    <w:rsid w:val="00C57C21"/>
    <w:rsid w:val="00C60CAB"/>
    <w:rsid w:val="00C623D9"/>
    <w:rsid w:val="00C628B4"/>
    <w:rsid w:val="00C65066"/>
    <w:rsid w:val="00C66C0F"/>
    <w:rsid w:val="00C67B75"/>
    <w:rsid w:val="00C72D40"/>
    <w:rsid w:val="00C73D6D"/>
    <w:rsid w:val="00C765FF"/>
    <w:rsid w:val="00C834A5"/>
    <w:rsid w:val="00C860F4"/>
    <w:rsid w:val="00C9019A"/>
    <w:rsid w:val="00C90350"/>
    <w:rsid w:val="00C95390"/>
    <w:rsid w:val="00C953B8"/>
    <w:rsid w:val="00C969E6"/>
    <w:rsid w:val="00C96ABD"/>
    <w:rsid w:val="00C9776F"/>
    <w:rsid w:val="00CA0CA6"/>
    <w:rsid w:val="00CA143E"/>
    <w:rsid w:val="00CA1CAC"/>
    <w:rsid w:val="00CA7CB4"/>
    <w:rsid w:val="00CB2848"/>
    <w:rsid w:val="00CB4C97"/>
    <w:rsid w:val="00CB7777"/>
    <w:rsid w:val="00CC1799"/>
    <w:rsid w:val="00CC17E2"/>
    <w:rsid w:val="00CC3068"/>
    <w:rsid w:val="00CC3E42"/>
    <w:rsid w:val="00CC559D"/>
    <w:rsid w:val="00CC6A41"/>
    <w:rsid w:val="00CC772D"/>
    <w:rsid w:val="00CD0C15"/>
    <w:rsid w:val="00CD1704"/>
    <w:rsid w:val="00CD2504"/>
    <w:rsid w:val="00CD3DC0"/>
    <w:rsid w:val="00CD578E"/>
    <w:rsid w:val="00CD66F9"/>
    <w:rsid w:val="00CE1A3C"/>
    <w:rsid w:val="00CF6860"/>
    <w:rsid w:val="00CF69FD"/>
    <w:rsid w:val="00CF713B"/>
    <w:rsid w:val="00D00763"/>
    <w:rsid w:val="00D00838"/>
    <w:rsid w:val="00D02936"/>
    <w:rsid w:val="00D0383E"/>
    <w:rsid w:val="00D06B2A"/>
    <w:rsid w:val="00D06C07"/>
    <w:rsid w:val="00D078D8"/>
    <w:rsid w:val="00D11BF6"/>
    <w:rsid w:val="00D14528"/>
    <w:rsid w:val="00D147D3"/>
    <w:rsid w:val="00D14B33"/>
    <w:rsid w:val="00D15086"/>
    <w:rsid w:val="00D21391"/>
    <w:rsid w:val="00D22CB3"/>
    <w:rsid w:val="00D24A8D"/>
    <w:rsid w:val="00D271AD"/>
    <w:rsid w:val="00D32D9A"/>
    <w:rsid w:val="00D35F33"/>
    <w:rsid w:val="00D366E4"/>
    <w:rsid w:val="00D37779"/>
    <w:rsid w:val="00D42F60"/>
    <w:rsid w:val="00D47CF0"/>
    <w:rsid w:val="00D520E4"/>
    <w:rsid w:val="00D52264"/>
    <w:rsid w:val="00D53D66"/>
    <w:rsid w:val="00D56856"/>
    <w:rsid w:val="00D56CD2"/>
    <w:rsid w:val="00D62955"/>
    <w:rsid w:val="00D72D3F"/>
    <w:rsid w:val="00D82371"/>
    <w:rsid w:val="00D830B5"/>
    <w:rsid w:val="00D83772"/>
    <w:rsid w:val="00D837AF"/>
    <w:rsid w:val="00D86DC9"/>
    <w:rsid w:val="00D927B3"/>
    <w:rsid w:val="00DA1075"/>
    <w:rsid w:val="00DA1212"/>
    <w:rsid w:val="00DB21A8"/>
    <w:rsid w:val="00DB263F"/>
    <w:rsid w:val="00DB2776"/>
    <w:rsid w:val="00DB76E2"/>
    <w:rsid w:val="00DC017F"/>
    <w:rsid w:val="00DC0964"/>
    <w:rsid w:val="00DC1988"/>
    <w:rsid w:val="00DC211E"/>
    <w:rsid w:val="00DC3D5A"/>
    <w:rsid w:val="00DC6678"/>
    <w:rsid w:val="00DC7C49"/>
    <w:rsid w:val="00DD0DF4"/>
    <w:rsid w:val="00DD15CD"/>
    <w:rsid w:val="00DD1666"/>
    <w:rsid w:val="00DD4D15"/>
    <w:rsid w:val="00DD72D7"/>
    <w:rsid w:val="00DE1FAC"/>
    <w:rsid w:val="00DE202E"/>
    <w:rsid w:val="00DE2E07"/>
    <w:rsid w:val="00DE5C8C"/>
    <w:rsid w:val="00DE6A49"/>
    <w:rsid w:val="00DF0E31"/>
    <w:rsid w:val="00DF7631"/>
    <w:rsid w:val="00E0714E"/>
    <w:rsid w:val="00E073EB"/>
    <w:rsid w:val="00E077B7"/>
    <w:rsid w:val="00E130E8"/>
    <w:rsid w:val="00E13C55"/>
    <w:rsid w:val="00E13FBD"/>
    <w:rsid w:val="00E16996"/>
    <w:rsid w:val="00E201AF"/>
    <w:rsid w:val="00E2271E"/>
    <w:rsid w:val="00E2398D"/>
    <w:rsid w:val="00E23EEE"/>
    <w:rsid w:val="00E2441B"/>
    <w:rsid w:val="00E30302"/>
    <w:rsid w:val="00E33AED"/>
    <w:rsid w:val="00E3440B"/>
    <w:rsid w:val="00E37950"/>
    <w:rsid w:val="00E42C33"/>
    <w:rsid w:val="00E43078"/>
    <w:rsid w:val="00E44581"/>
    <w:rsid w:val="00E4568E"/>
    <w:rsid w:val="00E45B00"/>
    <w:rsid w:val="00E45D1D"/>
    <w:rsid w:val="00E47098"/>
    <w:rsid w:val="00E55CAA"/>
    <w:rsid w:val="00E579B2"/>
    <w:rsid w:val="00E60708"/>
    <w:rsid w:val="00E643DF"/>
    <w:rsid w:val="00E676CE"/>
    <w:rsid w:val="00E7074C"/>
    <w:rsid w:val="00E70D7C"/>
    <w:rsid w:val="00E743CB"/>
    <w:rsid w:val="00E74DD9"/>
    <w:rsid w:val="00E810DB"/>
    <w:rsid w:val="00E81163"/>
    <w:rsid w:val="00E86C6A"/>
    <w:rsid w:val="00EA16E3"/>
    <w:rsid w:val="00EA56CE"/>
    <w:rsid w:val="00EA5FC4"/>
    <w:rsid w:val="00EB08EB"/>
    <w:rsid w:val="00EB2B05"/>
    <w:rsid w:val="00EB2CF2"/>
    <w:rsid w:val="00EB36D0"/>
    <w:rsid w:val="00EB3DD6"/>
    <w:rsid w:val="00EB4619"/>
    <w:rsid w:val="00EB6927"/>
    <w:rsid w:val="00EC0192"/>
    <w:rsid w:val="00EC17F5"/>
    <w:rsid w:val="00EC5666"/>
    <w:rsid w:val="00ED0405"/>
    <w:rsid w:val="00ED2E95"/>
    <w:rsid w:val="00ED4880"/>
    <w:rsid w:val="00ED4C56"/>
    <w:rsid w:val="00ED790B"/>
    <w:rsid w:val="00EE4E5C"/>
    <w:rsid w:val="00EE5B71"/>
    <w:rsid w:val="00EE7653"/>
    <w:rsid w:val="00EF1577"/>
    <w:rsid w:val="00EF3D8C"/>
    <w:rsid w:val="00EF48E7"/>
    <w:rsid w:val="00F0157F"/>
    <w:rsid w:val="00F0223E"/>
    <w:rsid w:val="00F03659"/>
    <w:rsid w:val="00F04068"/>
    <w:rsid w:val="00F12E9B"/>
    <w:rsid w:val="00F1327B"/>
    <w:rsid w:val="00F14102"/>
    <w:rsid w:val="00F1674F"/>
    <w:rsid w:val="00F16925"/>
    <w:rsid w:val="00F16A1F"/>
    <w:rsid w:val="00F20840"/>
    <w:rsid w:val="00F21640"/>
    <w:rsid w:val="00F23625"/>
    <w:rsid w:val="00F236D4"/>
    <w:rsid w:val="00F2507E"/>
    <w:rsid w:val="00F25352"/>
    <w:rsid w:val="00F263FE"/>
    <w:rsid w:val="00F319C8"/>
    <w:rsid w:val="00F32F95"/>
    <w:rsid w:val="00F336F9"/>
    <w:rsid w:val="00F33D0B"/>
    <w:rsid w:val="00F34B98"/>
    <w:rsid w:val="00F40F9C"/>
    <w:rsid w:val="00F43A79"/>
    <w:rsid w:val="00F468FF"/>
    <w:rsid w:val="00F52D25"/>
    <w:rsid w:val="00F52E80"/>
    <w:rsid w:val="00F5344E"/>
    <w:rsid w:val="00F5418E"/>
    <w:rsid w:val="00F54931"/>
    <w:rsid w:val="00F54A23"/>
    <w:rsid w:val="00F57488"/>
    <w:rsid w:val="00F5784E"/>
    <w:rsid w:val="00F6181E"/>
    <w:rsid w:val="00F64330"/>
    <w:rsid w:val="00F657B8"/>
    <w:rsid w:val="00F65ED8"/>
    <w:rsid w:val="00F666F2"/>
    <w:rsid w:val="00F66B7E"/>
    <w:rsid w:val="00F70D26"/>
    <w:rsid w:val="00F71F75"/>
    <w:rsid w:val="00F77655"/>
    <w:rsid w:val="00F77936"/>
    <w:rsid w:val="00F83566"/>
    <w:rsid w:val="00F847DC"/>
    <w:rsid w:val="00F86307"/>
    <w:rsid w:val="00F875E5"/>
    <w:rsid w:val="00F935C4"/>
    <w:rsid w:val="00F94DE7"/>
    <w:rsid w:val="00F97D4C"/>
    <w:rsid w:val="00FA0183"/>
    <w:rsid w:val="00FA36EC"/>
    <w:rsid w:val="00FA72A7"/>
    <w:rsid w:val="00FA72DC"/>
    <w:rsid w:val="00FB1BC5"/>
    <w:rsid w:val="00FB2B87"/>
    <w:rsid w:val="00FB3069"/>
    <w:rsid w:val="00FB6F6F"/>
    <w:rsid w:val="00FB7592"/>
    <w:rsid w:val="00FB7A2C"/>
    <w:rsid w:val="00FC56D7"/>
    <w:rsid w:val="00FC7D78"/>
    <w:rsid w:val="00FD5629"/>
    <w:rsid w:val="00FD58F5"/>
    <w:rsid w:val="00FD59F9"/>
    <w:rsid w:val="00FD5C10"/>
    <w:rsid w:val="00FE0A34"/>
    <w:rsid w:val="00FE0AFF"/>
    <w:rsid w:val="00FE193A"/>
    <w:rsid w:val="00FE5231"/>
    <w:rsid w:val="00FE6872"/>
    <w:rsid w:val="00FE7880"/>
    <w:rsid w:val="00FF1713"/>
    <w:rsid w:val="00FF1E09"/>
    <w:rsid w:val="00FF2B87"/>
    <w:rsid w:val="00FF2E6C"/>
    <w:rsid w:val="00FF3BE2"/>
    <w:rsid w:val="00FF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7288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paragraph" w:styleId="FootnoteText">
    <w:name w:val="footnote text"/>
    <w:basedOn w:val="Normal"/>
    <w:link w:val="FootnoteTextChar"/>
    <w:uiPriority w:val="99"/>
    <w:semiHidden/>
    <w:unhideWhenUsed/>
    <w:rsid w:val="009C6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850"/>
    <w:rPr>
      <w:sz w:val="20"/>
      <w:szCs w:val="20"/>
    </w:rPr>
  </w:style>
  <w:style w:type="character" w:styleId="FootnoteReference">
    <w:name w:val="footnote reference"/>
    <w:basedOn w:val="DefaultParagraphFont"/>
    <w:uiPriority w:val="99"/>
    <w:semiHidden/>
    <w:unhideWhenUsed/>
    <w:rsid w:val="009C6850"/>
    <w:rPr>
      <w:vertAlign w:val="superscript"/>
    </w:rPr>
  </w:style>
  <w:style w:type="character" w:styleId="FollowedHyperlink">
    <w:name w:val="FollowedHyperlink"/>
    <w:basedOn w:val="DefaultParagraphFont"/>
    <w:uiPriority w:val="99"/>
    <w:semiHidden/>
    <w:unhideWhenUsed/>
    <w:rsid w:val="00C4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1593">
      <w:bodyDiv w:val="1"/>
      <w:marLeft w:val="0"/>
      <w:marRight w:val="0"/>
      <w:marTop w:val="0"/>
      <w:marBottom w:val="0"/>
      <w:divBdr>
        <w:top w:val="none" w:sz="0" w:space="0" w:color="auto"/>
        <w:left w:val="none" w:sz="0" w:space="0" w:color="auto"/>
        <w:bottom w:val="none" w:sz="0" w:space="0" w:color="auto"/>
        <w:right w:val="none" w:sz="0" w:space="0" w:color="auto"/>
      </w:divBdr>
    </w:div>
    <w:div w:id="1509100193">
      <w:bodyDiv w:val="1"/>
      <w:marLeft w:val="0"/>
      <w:marRight w:val="0"/>
      <w:marTop w:val="0"/>
      <w:marBottom w:val="0"/>
      <w:divBdr>
        <w:top w:val="none" w:sz="0" w:space="0" w:color="auto"/>
        <w:left w:val="none" w:sz="0" w:space="0" w:color="auto"/>
        <w:bottom w:val="none" w:sz="0" w:space="0" w:color="auto"/>
        <w:right w:val="none" w:sz="0" w:space="0" w:color="auto"/>
      </w:divBdr>
    </w:div>
    <w:div w:id="19695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ycp.edu/marmoset/log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F3F74-EBE0-4BCC-81D0-8190D0FD6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6</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Quiet Pupil</cp:lastModifiedBy>
  <cp:revision>1217</cp:revision>
  <cp:lastPrinted>2016-02-15T15:59:00Z</cp:lastPrinted>
  <dcterms:created xsi:type="dcterms:W3CDTF">2016-02-08T11:48:00Z</dcterms:created>
  <dcterms:modified xsi:type="dcterms:W3CDTF">2020-04-16T11:10:00Z</dcterms:modified>
</cp:coreProperties>
</file>