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CF9A" w14:textId="054C0311" w:rsidR="00B72884" w:rsidRDefault="00B72884" w:rsidP="001C09F5">
      <w:pPr>
        <w:spacing w:line="240" w:lineRule="auto"/>
        <w:jc w:val="center"/>
        <w:rPr>
          <w:b/>
          <w:sz w:val="28"/>
          <w:szCs w:val="28"/>
        </w:rPr>
      </w:pPr>
      <w:r>
        <w:rPr>
          <w:b/>
          <w:sz w:val="28"/>
          <w:szCs w:val="28"/>
        </w:rPr>
        <w:t>ECE 26</w:t>
      </w:r>
      <w:r w:rsidRPr="00DE42C5">
        <w:rPr>
          <w:b/>
          <w:sz w:val="28"/>
          <w:szCs w:val="28"/>
        </w:rPr>
        <w:t>0</w:t>
      </w:r>
      <w:r w:rsidR="00623AB4">
        <w:rPr>
          <w:b/>
          <w:sz w:val="28"/>
          <w:szCs w:val="28"/>
        </w:rPr>
        <w:t>:</w:t>
      </w:r>
      <w:r w:rsidRPr="00DE42C5">
        <w:rPr>
          <w:b/>
          <w:sz w:val="28"/>
          <w:szCs w:val="28"/>
        </w:rPr>
        <w:t xml:space="preserve"> </w:t>
      </w:r>
      <w:r>
        <w:rPr>
          <w:b/>
          <w:sz w:val="28"/>
          <w:szCs w:val="28"/>
        </w:rPr>
        <w:t xml:space="preserve">Fundamentals </w:t>
      </w:r>
      <w:r w:rsidR="003146D4">
        <w:rPr>
          <w:b/>
          <w:sz w:val="28"/>
          <w:szCs w:val="28"/>
        </w:rPr>
        <w:t>of Computer Engineering – Lab #8</w:t>
      </w:r>
      <w:r>
        <w:rPr>
          <w:b/>
          <w:sz w:val="28"/>
          <w:szCs w:val="28"/>
        </w:rPr>
        <w:br/>
      </w:r>
      <w:r w:rsidR="006B4780">
        <w:rPr>
          <w:b/>
          <w:sz w:val="28"/>
          <w:szCs w:val="28"/>
        </w:rPr>
        <w:t xml:space="preserve">More Fun with </w:t>
      </w:r>
      <w:r w:rsidR="00B47534">
        <w:rPr>
          <w:b/>
          <w:sz w:val="28"/>
          <w:szCs w:val="28"/>
        </w:rPr>
        <w:t>Float</w:t>
      </w:r>
      <w:r w:rsidR="006B4780">
        <w:rPr>
          <w:b/>
          <w:sz w:val="28"/>
          <w:szCs w:val="28"/>
        </w:rPr>
        <w:t>s</w:t>
      </w:r>
    </w:p>
    <w:p w14:paraId="2F5F1579" w14:textId="77777777" w:rsidR="00B72884" w:rsidRDefault="00B72884" w:rsidP="001C09F5">
      <w:pPr>
        <w:spacing w:line="240" w:lineRule="auto"/>
        <w:jc w:val="center"/>
        <w:rPr>
          <w:b/>
          <w:sz w:val="28"/>
          <w:szCs w:val="28"/>
        </w:rPr>
      </w:pPr>
    </w:p>
    <w:p w14:paraId="6DC78438" w14:textId="5E2DC109" w:rsidR="00B72884" w:rsidRDefault="00B72884" w:rsidP="001C09F5">
      <w:pPr>
        <w:spacing w:line="240" w:lineRule="auto"/>
        <w:jc w:val="center"/>
        <w:rPr>
          <w:b/>
          <w:sz w:val="28"/>
          <w:szCs w:val="28"/>
        </w:rPr>
      </w:pPr>
      <w:r w:rsidRPr="008B2BD8">
        <w:rPr>
          <w:b/>
          <w:sz w:val="28"/>
          <w:szCs w:val="28"/>
        </w:rPr>
        <w:t>Name</w:t>
      </w:r>
      <w:r>
        <w:rPr>
          <w:b/>
          <w:sz w:val="28"/>
          <w:szCs w:val="28"/>
        </w:rPr>
        <w:t xml:space="preserve"> </w:t>
      </w:r>
      <w:r w:rsidRPr="008B2BD8">
        <w:rPr>
          <w:b/>
          <w:sz w:val="28"/>
          <w:szCs w:val="28"/>
        </w:rPr>
        <w:t>________________</w:t>
      </w:r>
      <w:r w:rsidR="00177985">
        <w:rPr>
          <w:b/>
          <w:sz w:val="28"/>
          <w:szCs w:val="28"/>
        </w:rPr>
        <w:t>______</w:t>
      </w:r>
      <w:r w:rsidRPr="008B2BD8">
        <w:rPr>
          <w:b/>
          <w:sz w:val="28"/>
          <w:szCs w:val="28"/>
        </w:rPr>
        <w:t xml:space="preserve">_ </w:t>
      </w:r>
      <w:r>
        <w:rPr>
          <w:b/>
          <w:sz w:val="28"/>
          <w:szCs w:val="28"/>
        </w:rPr>
        <w:t xml:space="preserve">                 Lab Partner(s) </w:t>
      </w:r>
      <w:r w:rsidRPr="008B2BD8">
        <w:rPr>
          <w:b/>
          <w:sz w:val="28"/>
          <w:szCs w:val="28"/>
        </w:rPr>
        <w:t>________________________</w:t>
      </w:r>
    </w:p>
    <w:p w14:paraId="1A283A34" w14:textId="77777777" w:rsidR="00B72884" w:rsidRDefault="00B72884" w:rsidP="001C09F5">
      <w:pPr>
        <w:spacing w:line="240" w:lineRule="auto"/>
        <w:jc w:val="center"/>
      </w:pPr>
    </w:p>
    <w:p w14:paraId="144D9910" w14:textId="72AA92D1" w:rsidR="00871E61" w:rsidRPr="00C66C0F" w:rsidRDefault="00B72884" w:rsidP="001C09F5">
      <w:pPr>
        <w:spacing w:line="240" w:lineRule="auto"/>
        <w:rPr>
          <w:szCs w:val="24"/>
        </w:rPr>
      </w:pPr>
      <w:r w:rsidRPr="004528A6">
        <w:rPr>
          <w:b/>
          <w:szCs w:val="24"/>
        </w:rPr>
        <w:t>1. Introduction</w:t>
      </w:r>
      <w:r w:rsidRPr="004528A6">
        <w:rPr>
          <w:szCs w:val="24"/>
        </w:rPr>
        <w:t xml:space="preserve">: </w:t>
      </w:r>
      <w:r>
        <w:rPr>
          <w:szCs w:val="24"/>
        </w:rPr>
        <w:t xml:space="preserve">This lab provides </w:t>
      </w:r>
      <w:r w:rsidR="00296C36">
        <w:rPr>
          <w:szCs w:val="24"/>
        </w:rPr>
        <w:t xml:space="preserve">students with </w:t>
      </w:r>
      <w:r w:rsidR="00767269">
        <w:rPr>
          <w:szCs w:val="24"/>
        </w:rPr>
        <w:t xml:space="preserve">practice </w:t>
      </w:r>
      <w:r w:rsidR="00186F5E">
        <w:rPr>
          <w:szCs w:val="24"/>
        </w:rPr>
        <w:t xml:space="preserve">using </w:t>
      </w:r>
      <w:r w:rsidR="00186F5E" w:rsidRPr="008A360D">
        <w:rPr>
          <w:b/>
          <w:szCs w:val="24"/>
        </w:rPr>
        <w:t>double</w:t>
      </w:r>
      <w:r w:rsidR="00C419AD" w:rsidRPr="008A360D">
        <w:rPr>
          <w:b/>
          <w:szCs w:val="24"/>
        </w:rPr>
        <w:t>-precision</w:t>
      </w:r>
      <w:r w:rsidR="00186F5E">
        <w:rPr>
          <w:szCs w:val="24"/>
        </w:rPr>
        <w:t xml:space="preserve"> floating</w:t>
      </w:r>
      <w:r w:rsidR="00C419AD">
        <w:rPr>
          <w:szCs w:val="24"/>
        </w:rPr>
        <w:t>-point</w:t>
      </w:r>
      <w:r w:rsidR="00186F5E">
        <w:rPr>
          <w:szCs w:val="24"/>
        </w:rPr>
        <w:t xml:space="preserve"> values to calculate</w:t>
      </w:r>
      <w:r w:rsidR="008C79BF">
        <w:rPr>
          <w:szCs w:val="24"/>
        </w:rPr>
        <w:t xml:space="preserve"> mathematical expressions</w:t>
      </w:r>
      <w:r w:rsidR="00E3272F">
        <w:rPr>
          <w:szCs w:val="24"/>
        </w:rPr>
        <w:t xml:space="preserve"> and provides an overview of data dependencies in </w:t>
      </w:r>
      <w:r w:rsidR="00A0430C">
        <w:rPr>
          <w:szCs w:val="24"/>
        </w:rPr>
        <w:t>algorithms</w:t>
      </w:r>
      <w:r w:rsidR="008C79BF">
        <w:rPr>
          <w:szCs w:val="24"/>
        </w:rPr>
        <w:t>.</w:t>
      </w:r>
    </w:p>
    <w:p w14:paraId="317BD98A" w14:textId="107709DB" w:rsidR="00043C0B" w:rsidRDefault="007A706F" w:rsidP="001C09F5">
      <w:pPr>
        <w:spacing w:line="240" w:lineRule="auto"/>
      </w:pPr>
      <w:r>
        <w:rPr>
          <w:b/>
        </w:rPr>
        <w:t>2. Background</w:t>
      </w:r>
    </w:p>
    <w:p w14:paraId="66CFC801" w14:textId="7A61C174" w:rsidR="00D263D3" w:rsidRDefault="00D263D3" w:rsidP="001C09F5">
      <w:pPr>
        <w:spacing w:line="240" w:lineRule="auto"/>
      </w:pPr>
      <w:r>
        <w:t xml:space="preserve">The previous lab reviewed how </w:t>
      </w:r>
      <w:r w:rsidR="004E41E5">
        <w:t>to load values into the floating-</w:t>
      </w:r>
      <w:r>
        <w:t>point registers and how to perform basic arithmetic operations.</w:t>
      </w:r>
      <w:r w:rsidR="007100B1">
        <w:t xml:space="preserve"> </w:t>
      </w:r>
      <w:r>
        <w:t xml:space="preserve"> In this lab</w:t>
      </w:r>
      <w:r w:rsidR="00CC0462">
        <w:t>,</w:t>
      </w:r>
      <w:r>
        <w:t xml:space="preserve"> you will use that knowledge to perform more complex calculations. </w:t>
      </w:r>
      <w:r w:rsidR="007100B1">
        <w:t xml:space="preserve"> </w:t>
      </w:r>
      <w:r>
        <w:t xml:space="preserve">Information on comparison and branching instructions are </w:t>
      </w:r>
      <w:r w:rsidR="000E7E1F">
        <w:t>included</w:t>
      </w:r>
      <w:r>
        <w:t xml:space="preserve"> in Section 2.1</w:t>
      </w:r>
      <w:r w:rsidR="005837E7">
        <w:t xml:space="preserve"> (same </w:t>
      </w:r>
      <w:r w:rsidR="00A56F2B">
        <w:t xml:space="preserve">content </w:t>
      </w:r>
      <w:r w:rsidR="005837E7">
        <w:t>as previous lab)</w:t>
      </w:r>
      <w:r w:rsidR="00134DFD">
        <w:t>.</w:t>
      </w:r>
      <w:r>
        <w:t xml:space="preserve"> </w:t>
      </w:r>
      <w:r w:rsidR="000E7E1F">
        <w:t xml:space="preserve"> </w:t>
      </w:r>
      <w:r>
        <w:t xml:space="preserve">Section 2.2 </w:t>
      </w:r>
      <w:r w:rsidR="00134DFD">
        <w:t>introduces</w:t>
      </w:r>
      <w:r>
        <w:t xml:space="preserve"> several new </w:t>
      </w:r>
      <w:r w:rsidR="0079372A">
        <w:t xml:space="preserve">floating-point </w:t>
      </w:r>
      <w:r>
        <w:t>instructions that will be helpful for this lab.</w:t>
      </w:r>
    </w:p>
    <w:p w14:paraId="1CA59FFD" w14:textId="0A95CB5F" w:rsidR="00FF2E6C" w:rsidRDefault="007E3225" w:rsidP="001C09F5">
      <w:pPr>
        <w:spacing w:line="240" w:lineRule="auto"/>
        <w:rPr>
          <w:b/>
        </w:rPr>
      </w:pPr>
      <w:r>
        <w:rPr>
          <w:b/>
        </w:rPr>
        <w:t>2</w:t>
      </w:r>
      <w:r w:rsidR="00D263D3">
        <w:rPr>
          <w:b/>
        </w:rPr>
        <w:t>.1</w:t>
      </w:r>
      <w:r w:rsidR="00835BA8" w:rsidRPr="00835BA8">
        <w:rPr>
          <w:b/>
        </w:rPr>
        <w:t xml:space="preserve"> Comparison and Branching with Floating</w:t>
      </w:r>
      <w:r w:rsidR="00002B5A">
        <w:rPr>
          <w:b/>
        </w:rPr>
        <w:t>-</w:t>
      </w:r>
      <w:r w:rsidR="00835BA8" w:rsidRPr="00835BA8">
        <w:rPr>
          <w:b/>
        </w:rPr>
        <w:t>Point</w:t>
      </w:r>
      <w:r w:rsidR="00002B5A">
        <w:rPr>
          <w:b/>
        </w:rPr>
        <w:t xml:space="preserve"> Values</w:t>
      </w:r>
    </w:p>
    <w:p w14:paraId="6B5A83E2" w14:textId="45D5F162" w:rsidR="004C50A6" w:rsidRDefault="004C50A6" w:rsidP="004C50A6">
      <w:bookmarkStart w:id="0" w:name="_Ref478324732"/>
      <w:r>
        <w:t xml:space="preserve">Comparisons and branches with floating-point values are similar to those of integer values.  One distinction is that the results of all floating-point comparisons are stored in a special </w:t>
      </w:r>
      <w:r w:rsidRPr="00BE2B3E">
        <w:rPr>
          <w:i/>
        </w:rPr>
        <w:t>FPCond</w:t>
      </w:r>
      <w:r>
        <w:t xml:space="preserve"> register.  Floating-point comparison instructions automatically place the comparison result in that register.  This is distinct from integer comparisons that use an </w:t>
      </w:r>
      <w:r>
        <w:rPr>
          <w:i/>
        </w:rPr>
        <w:t>slt</w:t>
      </w:r>
      <w:r>
        <w:t xml:space="preserve"> instruction where the destination register of the result is specified.  In conjunction with the </w:t>
      </w:r>
      <w:r w:rsidRPr="006A5F41">
        <w:rPr>
          <w:i/>
        </w:rPr>
        <w:t>FPCond</w:t>
      </w:r>
      <w:r>
        <w:t xml:space="preserve"> register, two branch instructions are provided that branch based upon whether the </w:t>
      </w:r>
      <w:r w:rsidRPr="00CD2504">
        <w:rPr>
          <w:i/>
        </w:rPr>
        <w:t>FPCond</w:t>
      </w:r>
      <w:r>
        <w:t xml:space="preserve"> contains a 1 (</w:t>
      </w:r>
      <w:r w:rsidRPr="00860D70">
        <w:rPr>
          <w:i/>
        </w:rPr>
        <w:t>bc1t</w:t>
      </w:r>
      <w:r>
        <w:t>, branch when comparison is true) or a 0 (</w:t>
      </w:r>
      <w:r w:rsidRPr="00860D70">
        <w:rPr>
          <w:i/>
        </w:rPr>
        <w:t>bc1</w:t>
      </w:r>
      <w:r>
        <w:rPr>
          <w:i/>
        </w:rPr>
        <w:t>f</w:t>
      </w:r>
      <w:r w:rsidRPr="00D82371">
        <w:t>,</w:t>
      </w:r>
      <w:r>
        <w:t xml:space="preserve"> branch when comparison is false).  Consequently, the basic floating-point branch instructions only take one operand, a destination label for the branch if the branching instruction is true.  Table 1 shows the integer compare and branch instructions with the equivalent floating-point instruction.</w:t>
      </w:r>
    </w:p>
    <w:bookmarkEnd w:id="0"/>
    <w:p w14:paraId="3D7655D2" w14:textId="02078B46" w:rsidR="00761F8E" w:rsidRDefault="00761F8E" w:rsidP="00761F8E">
      <w:pPr>
        <w:pStyle w:val="Caption"/>
        <w:keepNext/>
        <w:jc w:val="center"/>
        <w:outlineLvl w:val="0"/>
        <w:rPr>
          <w:color w:val="000000" w:themeColor="text1"/>
        </w:rPr>
      </w:pPr>
      <w:r w:rsidRPr="003D6D78">
        <w:rPr>
          <w:color w:val="000000" w:themeColor="text1"/>
        </w:rPr>
        <w:t xml:space="preserve">Table </w:t>
      </w:r>
      <w:r>
        <w:rPr>
          <w:color w:val="000000" w:themeColor="text1"/>
        </w:rPr>
        <w:t>1</w:t>
      </w:r>
      <w:r w:rsidRPr="003D6D78">
        <w:rPr>
          <w:color w:val="000000" w:themeColor="text1"/>
        </w:rPr>
        <w:t xml:space="preserve">: Comparison of integer, </w:t>
      </w:r>
      <w:r>
        <w:rPr>
          <w:color w:val="000000" w:themeColor="text1"/>
        </w:rPr>
        <w:t>single-precision</w:t>
      </w:r>
      <w:r w:rsidRPr="003D6D78">
        <w:rPr>
          <w:color w:val="000000" w:themeColor="text1"/>
        </w:rPr>
        <w:t xml:space="preserve">, and </w:t>
      </w:r>
      <w:r>
        <w:rPr>
          <w:color w:val="000000" w:themeColor="text1"/>
        </w:rPr>
        <w:t>double-precision</w:t>
      </w:r>
      <w:r w:rsidRPr="003D6D78">
        <w:rPr>
          <w:color w:val="000000" w:themeColor="text1"/>
        </w:rPr>
        <w:t xml:space="preserve"> floating</w:t>
      </w:r>
      <w:r>
        <w:rPr>
          <w:color w:val="000000" w:themeColor="text1"/>
        </w:rPr>
        <w:t>-</w:t>
      </w:r>
      <w:r w:rsidRPr="003D6D78">
        <w:rPr>
          <w:color w:val="000000" w:themeColor="text1"/>
        </w:rPr>
        <w:t xml:space="preserve">point </w:t>
      </w:r>
      <w:r>
        <w:rPr>
          <w:color w:val="000000" w:themeColor="text1"/>
        </w:rPr>
        <w:t xml:space="preserve">compare and branch </w:t>
      </w:r>
      <w:r w:rsidR="005F5A9A">
        <w:rPr>
          <w:color w:val="000000" w:themeColor="text1"/>
        </w:rPr>
        <w:t>instruction</w:t>
      </w:r>
    </w:p>
    <w:tbl>
      <w:tblPr>
        <w:tblStyle w:val="TableGrid"/>
        <w:tblW w:w="0" w:type="auto"/>
        <w:tblInd w:w="108" w:type="dxa"/>
        <w:tblLook w:val="04A0" w:firstRow="1" w:lastRow="0" w:firstColumn="1" w:lastColumn="0" w:noHBand="0" w:noVBand="1"/>
      </w:tblPr>
      <w:tblGrid>
        <w:gridCol w:w="3564"/>
        <w:gridCol w:w="3672"/>
        <w:gridCol w:w="3564"/>
      </w:tblGrid>
      <w:tr w:rsidR="00A6403F" w14:paraId="538B05D8" w14:textId="77777777" w:rsidTr="0011753D">
        <w:trPr>
          <w:trHeight w:val="360"/>
        </w:trPr>
        <w:tc>
          <w:tcPr>
            <w:tcW w:w="3564" w:type="dxa"/>
            <w:tcBorders>
              <w:bottom w:val="single" w:sz="12" w:space="0" w:color="auto"/>
              <w:right w:val="single" w:sz="12" w:space="0" w:color="auto"/>
            </w:tcBorders>
            <w:vAlign w:val="center"/>
          </w:tcPr>
          <w:p w14:paraId="69F5A624" w14:textId="77777777" w:rsidR="00A6403F" w:rsidRDefault="00A6403F" w:rsidP="0011753D">
            <w:pPr>
              <w:spacing w:after="0"/>
              <w:jc w:val="center"/>
              <w:rPr>
                <w:i/>
              </w:rPr>
            </w:pPr>
            <w:r w:rsidRPr="00774895">
              <w:rPr>
                <w:b/>
              </w:rPr>
              <w:t>Integer Operation</w:t>
            </w:r>
            <w:r>
              <w:rPr>
                <w:b/>
              </w:rPr>
              <w:t>s</w:t>
            </w:r>
          </w:p>
        </w:tc>
        <w:tc>
          <w:tcPr>
            <w:tcW w:w="3672" w:type="dxa"/>
            <w:tcBorders>
              <w:left w:val="single" w:sz="12" w:space="0" w:color="auto"/>
              <w:bottom w:val="single" w:sz="12" w:space="0" w:color="auto"/>
              <w:right w:val="single" w:sz="12" w:space="0" w:color="auto"/>
            </w:tcBorders>
            <w:vAlign w:val="center"/>
          </w:tcPr>
          <w:p w14:paraId="0FF3967A" w14:textId="77777777" w:rsidR="00A6403F" w:rsidRDefault="00A6403F" w:rsidP="0011753D">
            <w:pPr>
              <w:spacing w:after="0"/>
              <w:jc w:val="center"/>
              <w:rPr>
                <w:i/>
              </w:rPr>
            </w:pPr>
            <w:r>
              <w:rPr>
                <w:b/>
              </w:rPr>
              <w:t xml:space="preserve">Single-precision </w:t>
            </w:r>
            <w:r w:rsidRPr="00774895">
              <w:rPr>
                <w:b/>
              </w:rPr>
              <w:t>Floating</w:t>
            </w:r>
            <w:r>
              <w:rPr>
                <w:b/>
              </w:rPr>
              <w:t>-</w:t>
            </w:r>
            <w:r w:rsidRPr="00774895">
              <w:rPr>
                <w:b/>
              </w:rPr>
              <w:t>Point</w:t>
            </w:r>
            <w:r>
              <w:rPr>
                <w:b/>
              </w:rPr>
              <w:t xml:space="preserve"> Ops</w:t>
            </w:r>
          </w:p>
        </w:tc>
        <w:tc>
          <w:tcPr>
            <w:tcW w:w="3564" w:type="dxa"/>
            <w:tcBorders>
              <w:left w:val="single" w:sz="12" w:space="0" w:color="auto"/>
              <w:bottom w:val="single" w:sz="12" w:space="0" w:color="auto"/>
            </w:tcBorders>
            <w:vAlign w:val="center"/>
          </w:tcPr>
          <w:p w14:paraId="0EE0723B" w14:textId="77777777" w:rsidR="00A6403F" w:rsidRDefault="00A6403F" w:rsidP="0011753D">
            <w:pPr>
              <w:spacing w:after="0"/>
              <w:jc w:val="center"/>
              <w:rPr>
                <w:i/>
              </w:rPr>
            </w:pPr>
            <w:r>
              <w:rPr>
                <w:b/>
              </w:rPr>
              <w:t xml:space="preserve">Double-precision </w:t>
            </w:r>
            <w:r w:rsidRPr="00774895">
              <w:rPr>
                <w:b/>
              </w:rPr>
              <w:t>Floating</w:t>
            </w:r>
            <w:r>
              <w:rPr>
                <w:b/>
              </w:rPr>
              <w:t>-</w:t>
            </w:r>
            <w:r w:rsidRPr="00774895">
              <w:rPr>
                <w:b/>
              </w:rPr>
              <w:t>Point</w:t>
            </w:r>
            <w:r>
              <w:rPr>
                <w:b/>
              </w:rPr>
              <w:t xml:space="preserve"> Ops</w:t>
            </w:r>
          </w:p>
        </w:tc>
      </w:tr>
      <w:tr w:rsidR="00A6403F" w14:paraId="00EE2151" w14:textId="77777777" w:rsidTr="0011753D">
        <w:trPr>
          <w:trHeight w:val="360"/>
        </w:trPr>
        <w:tc>
          <w:tcPr>
            <w:tcW w:w="3564" w:type="dxa"/>
            <w:tcBorders>
              <w:top w:val="single" w:sz="12" w:space="0" w:color="auto"/>
              <w:right w:val="single" w:sz="12" w:space="0" w:color="auto"/>
            </w:tcBorders>
            <w:vAlign w:val="center"/>
          </w:tcPr>
          <w:p w14:paraId="176C0317" w14:textId="77777777" w:rsidR="00A6403F" w:rsidRPr="00774895" w:rsidRDefault="00A6403F" w:rsidP="0011753D">
            <w:pPr>
              <w:spacing w:after="0"/>
              <w:jc w:val="center"/>
            </w:pPr>
            <w:r>
              <w:t>slt</w:t>
            </w:r>
          </w:p>
        </w:tc>
        <w:tc>
          <w:tcPr>
            <w:tcW w:w="3672" w:type="dxa"/>
            <w:tcBorders>
              <w:top w:val="single" w:sz="12" w:space="0" w:color="auto"/>
              <w:left w:val="single" w:sz="12" w:space="0" w:color="auto"/>
              <w:right w:val="single" w:sz="12" w:space="0" w:color="auto"/>
            </w:tcBorders>
            <w:vAlign w:val="center"/>
          </w:tcPr>
          <w:p w14:paraId="25BF581B" w14:textId="77777777" w:rsidR="00A6403F" w:rsidRPr="00774895" w:rsidRDefault="00A6403F" w:rsidP="0011753D">
            <w:pPr>
              <w:spacing w:after="0"/>
              <w:jc w:val="center"/>
            </w:pPr>
            <w:r>
              <w:t>c.lt.s (compare less than)</w:t>
            </w:r>
          </w:p>
        </w:tc>
        <w:tc>
          <w:tcPr>
            <w:tcW w:w="3564" w:type="dxa"/>
            <w:tcBorders>
              <w:top w:val="single" w:sz="12" w:space="0" w:color="auto"/>
              <w:left w:val="single" w:sz="12" w:space="0" w:color="auto"/>
            </w:tcBorders>
            <w:vAlign w:val="center"/>
          </w:tcPr>
          <w:p w14:paraId="38A3D9FA" w14:textId="77777777" w:rsidR="00A6403F" w:rsidRPr="00774895" w:rsidRDefault="00A6403F" w:rsidP="0011753D">
            <w:pPr>
              <w:spacing w:after="0"/>
              <w:jc w:val="center"/>
            </w:pPr>
            <w:r>
              <w:t>c.lt.d</w:t>
            </w:r>
          </w:p>
        </w:tc>
      </w:tr>
      <w:tr w:rsidR="00A6403F" w14:paraId="16CF0D7C" w14:textId="77777777" w:rsidTr="0011753D">
        <w:trPr>
          <w:trHeight w:val="360"/>
        </w:trPr>
        <w:tc>
          <w:tcPr>
            <w:tcW w:w="3564" w:type="dxa"/>
            <w:tcBorders>
              <w:right w:val="single" w:sz="12" w:space="0" w:color="auto"/>
            </w:tcBorders>
            <w:vAlign w:val="center"/>
          </w:tcPr>
          <w:p w14:paraId="4A80DD91" w14:textId="77777777" w:rsidR="00A6403F" w:rsidRPr="00774895" w:rsidRDefault="00A6403F" w:rsidP="0011753D">
            <w:pPr>
              <w:spacing w:after="0"/>
              <w:jc w:val="center"/>
            </w:pPr>
            <w:r>
              <w:t>slti</w:t>
            </w:r>
          </w:p>
        </w:tc>
        <w:tc>
          <w:tcPr>
            <w:tcW w:w="3672" w:type="dxa"/>
            <w:tcBorders>
              <w:left w:val="single" w:sz="12" w:space="0" w:color="auto"/>
              <w:right w:val="single" w:sz="12" w:space="0" w:color="auto"/>
            </w:tcBorders>
            <w:vAlign w:val="center"/>
          </w:tcPr>
          <w:p w14:paraId="4CC0E5E8" w14:textId="77777777" w:rsidR="00A6403F" w:rsidRPr="00774895" w:rsidRDefault="00A6403F" w:rsidP="0011753D">
            <w:pPr>
              <w:spacing w:after="0"/>
              <w:jc w:val="center"/>
            </w:pPr>
            <w:r>
              <w:t>N/A</w:t>
            </w:r>
          </w:p>
        </w:tc>
        <w:tc>
          <w:tcPr>
            <w:tcW w:w="3564" w:type="dxa"/>
            <w:tcBorders>
              <w:left w:val="single" w:sz="12" w:space="0" w:color="auto"/>
            </w:tcBorders>
            <w:vAlign w:val="center"/>
          </w:tcPr>
          <w:p w14:paraId="1F40DF9B" w14:textId="77777777" w:rsidR="00A6403F" w:rsidRPr="00774895" w:rsidRDefault="00A6403F" w:rsidP="0011753D">
            <w:pPr>
              <w:spacing w:after="0"/>
              <w:jc w:val="center"/>
            </w:pPr>
            <w:r>
              <w:t>N/A</w:t>
            </w:r>
          </w:p>
        </w:tc>
      </w:tr>
      <w:tr w:rsidR="00A6403F" w14:paraId="4269F81F" w14:textId="77777777" w:rsidTr="0011753D">
        <w:trPr>
          <w:trHeight w:val="360"/>
        </w:trPr>
        <w:tc>
          <w:tcPr>
            <w:tcW w:w="3564" w:type="dxa"/>
            <w:tcBorders>
              <w:right w:val="single" w:sz="12" w:space="0" w:color="auto"/>
            </w:tcBorders>
            <w:vAlign w:val="center"/>
          </w:tcPr>
          <w:p w14:paraId="20450F29" w14:textId="77777777" w:rsidR="00A6403F" w:rsidRDefault="00A6403F" w:rsidP="0011753D">
            <w:pPr>
              <w:spacing w:after="0"/>
              <w:jc w:val="center"/>
            </w:pPr>
            <w:r>
              <w:t>beq</w:t>
            </w:r>
          </w:p>
        </w:tc>
        <w:tc>
          <w:tcPr>
            <w:tcW w:w="3672" w:type="dxa"/>
            <w:tcBorders>
              <w:left w:val="single" w:sz="12" w:space="0" w:color="auto"/>
              <w:right w:val="single" w:sz="12" w:space="0" w:color="auto"/>
            </w:tcBorders>
            <w:vAlign w:val="center"/>
          </w:tcPr>
          <w:p w14:paraId="14636BD1" w14:textId="77777777" w:rsidR="00A6403F" w:rsidRPr="00774895" w:rsidRDefault="00A6403F" w:rsidP="0011753D">
            <w:pPr>
              <w:spacing w:after="0"/>
              <w:jc w:val="center"/>
            </w:pPr>
            <w:r>
              <w:t>bc1t</w:t>
            </w:r>
          </w:p>
        </w:tc>
        <w:tc>
          <w:tcPr>
            <w:tcW w:w="3564" w:type="dxa"/>
            <w:tcBorders>
              <w:left w:val="single" w:sz="12" w:space="0" w:color="auto"/>
            </w:tcBorders>
            <w:vAlign w:val="center"/>
          </w:tcPr>
          <w:p w14:paraId="452BF52F" w14:textId="77777777" w:rsidR="00A6403F" w:rsidRPr="00774895" w:rsidRDefault="00A6403F" w:rsidP="0011753D">
            <w:pPr>
              <w:spacing w:after="0"/>
              <w:jc w:val="center"/>
            </w:pPr>
            <w:r>
              <w:t>bc1t</w:t>
            </w:r>
          </w:p>
        </w:tc>
      </w:tr>
      <w:tr w:rsidR="00A6403F" w14:paraId="6136977A" w14:textId="77777777" w:rsidTr="0011753D">
        <w:trPr>
          <w:trHeight w:val="360"/>
        </w:trPr>
        <w:tc>
          <w:tcPr>
            <w:tcW w:w="3564" w:type="dxa"/>
            <w:tcBorders>
              <w:right w:val="single" w:sz="12" w:space="0" w:color="auto"/>
            </w:tcBorders>
            <w:vAlign w:val="center"/>
          </w:tcPr>
          <w:p w14:paraId="76609440" w14:textId="77777777" w:rsidR="00A6403F" w:rsidRDefault="00A6403F" w:rsidP="0011753D">
            <w:pPr>
              <w:spacing w:after="0"/>
              <w:jc w:val="center"/>
            </w:pPr>
            <w:r>
              <w:t>bne</w:t>
            </w:r>
          </w:p>
        </w:tc>
        <w:tc>
          <w:tcPr>
            <w:tcW w:w="3672" w:type="dxa"/>
            <w:tcBorders>
              <w:left w:val="single" w:sz="12" w:space="0" w:color="auto"/>
              <w:right w:val="single" w:sz="12" w:space="0" w:color="auto"/>
            </w:tcBorders>
            <w:vAlign w:val="center"/>
          </w:tcPr>
          <w:p w14:paraId="72245707" w14:textId="77777777" w:rsidR="00A6403F" w:rsidRPr="00774895" w:rsidRDefault="00A6403F" w:rsidP="0011753D">
            <w:pPr>
              <w:spacing w:after="0"/>
              <w:jc w:val="center"/>
            </w:pPr>
            <w:r>
              <w:t>bc1f</w:t>
            </w:r>
          </w:p>
        </w:tc>
        <w:tc>
          <w:tcPr>
            <w:tcW w:w="3564" w:type="dxa"/>
            <w:tcBorders>
              <w:left w:val="single" w:sz="12" w:space="0" w:color="auto"/>
            </w:tcBorders>
            <w:vAlign w:val="center"/>
          </w:tcPr>
          <w:p w14:paraId="772BAA71" w14:textId="77777777" w:rsidR="00A6403F" w:rsidRPr="00774895" w:rsidRDefault="00A6403F" w:rsidP="0011753D">
            <w:pPr>
              <w:spacing w:after="0"/>
              <w:jc w:val="center"/>
            </w:pPr>
            <w:r>
              <w:t>bc1f</w:t>
            </w:r>
          </w:p>
        </w:tc>
      </w:tr>
      <w:tr w:rsidR="00A6403F" w14:paraId="7B171507" w14:textId="77777777" w:rsidTr="0011753D">
        <w:trPr>
          <w:trHeight w:val="360"/>
        </w:trPr>
        <w:tc>
          <w:tcPr>
            <w:tcW w:w="3564" w:type="dxa"/>
            <w:tcBorders>
              <w:right w:val="single" w:sz="12" w:space="0" w:color="auto"/>
            </w:tcBorders>
            <w:vAlign w:val="center"/>
          </w:tcPr>
          <w:p w14:paraId="065E08DA" w14:textId="77777777" w:rsidR="00A6403F" w:rsidRDefault="00A6403F" w:rsidP="0011753D">
            <w:pPr>
              <w:spacing w:after="0"/>
              <w:jc w:val="center"/>
            </w:pPr>
            <w:r>
              <w:t>N/A</w:t>
            </w:r>
          </w:p>
        </w:tc>
        <w:tc>
          <w:tcPr>
            <w:tcW w:w="3672" w:type="dxa"/>
            <w:tcBorders>
              <w:left w:val="single" w:sz="12" w:space="0" w:color="auto"/>
              <w:right w:val="single" w:sz="12" w:space="0" w:color="auto"/>
            </w:tcBorders>
            <w:vAlign w:val="center"/>
          </w:tcPr>
          <w:p w14:paraId="60864B64" w14:textId="77777777" w:rsidR="00A6403F" w:rsidRDefault="00A6403F" w:rsidP="0011753D">
            <w:pPr>
              <w:spacing w:after="0"/>
              <w:jc w:val="center"/>
            </w:pPr>
            <w:r>
              <w:t>c.eq.s (compare equals)</w:t>
            </w:r>
          </w:p>
        </w:tc>
        <w:tc>
          <w:tcPr>
            <w:tcW w:w="3564" w:type="dxa"/>
            <w:tcBorders>
              <w:left w:val="single" w:sz="12" w:space="0" w:color="auto"/>
            </w:tcBorders>
            <w:vAlign w:val="center"/>
          </w:tcPr>
          <w:p w14:paraId="1B071E03" w14:textId="77777777" w:rsidR="00A6403F" w:rsidRDefault="00A6403F" w:rsidP="0011753D">
            <w:pPr>
              <w:spacing w:after="0"/>
              <w:jc w:val="center"/>
            </w:pPr>
            <w:r>
              <w:t>c.eq.d</w:t>
            </w:r>
          </w:p>
        </w:tc>
      </w:tr>
      <w:tr w:rsidR="00A6403F" w14:paraId="321962AA" w14:textId="77777777" w:rsidTr="0011753D">
        <w:trPr>
          <w:trHeight w:val="360"/>
        </w:trPr>
        <w:tc>
          <w:tcPr>
            <w:tcW w:w="3564" w:type="dxa"/>
            <w:tcBorders>
              <w:right w:val="single" w:sz="12" w:space="0" w:color="auto"/>
            </w:tcBorders>
            <w:vAlign w:val="center"/>
          </w:tcPr>
          <w:p w14:paraId="3F8EB9BC" w14:textId="77777777" w:rsidR="00A6403F" w:rsidRDefault="00A6403F" w:rsidP="0011753D">
            <w:pPr>
              <w:spacing w:after="0"/>
              <w:jc w:val="center"/>
            </w:pPr>
            <w:r>
              <w:t>N/A</w:t>
            </w:r>
          </w:p>
        </w:tc>
        <w:tc>
          <w:tcPr>
            <w:tcW w:w="3672" w:type="dxa"/>
            <w:tcBorders>
              <w:left w:val="single" w:sz="12" w:space="0" w:color="auto"/>
              <w:right w:val="single" w:sz="12" w:space="0" w:color="auto"/>
            </w:tcBorders>
            <w:vAlign w:val="center"/>
          </w:tcPr>
          <w:p w14:paraId="61783571" w14:textId="77777777" w:rsidR="00A6403F" w:rsidRDefault="00A6403F" w:rsidP="0011753D">
            <w:pPr>
              <w:spacing w:after="0"/>
              <w:jc w:val="center"/>
            </w:pPr>
            <w:r>
              <w:t>c.le.s (compare less than equals)</w:t>
            </w:r>
          </w:p>
        </w:tc>
        <w:tc>
          <w:tcPr>
            <w:tcW w:w="3564" w:type="dxa"/>
            <w:tcBorders>
              <w:left w:val="single" w:sz="12" w:space="0" w:color="auto"/>
            </w:tcBorders>
            <w:vAlign w:val="center"/>
          </w:tcPr>
          <w:p w14:paraId="5BA70937" w14:textId="77777777" w:rsidR="00A6403F" w:rsidRDefault="00A6403F" w:rsidP="0011753D">
            <w:pPr>
              <w:spacing w:after="0"/>
              <w:jc w:val="center"/>
            </w:pPr>
            <w:r>
              <w:t>c.le.d</w:t>
            </w:r>
          </w:p>
        </w:tc>
      </w:tr>
    </w:tbl>
    <w:p w14:paraId="2259C3F2" w14:textId="576E21C2" w:rsidR="00F76318" w:rsidRDefault="00F76318" w:rsidP="00A6403F"/>
    <w:p w14:paraId="3711EAD1" w14:textId="77777777" w:rsidR="00D14FD8" w:rsidRDefault="00D14FD8" w:rsidP="00A6403F"/>
    <w:p w14:paraId="24A018A1" w14:textId="36FF46DD" w:rsidR="00D263D3" w:rsidRDefault="009976C0" w:rsidP="00D263D3">
      <w:pPr>
        <w:spacing w:line="240" w:lineRule="auto"/>
        <w:rPr>
          <w:b/>
        </w:rPr>
      </w:pPr>
      <w:r>
        <w:rPr>
          <w:b/>
        </w:rPr>
        <w:t>2.2</w:t>
      </w:r>
      <w:r w:rsidR="00D263D3" w:rsidRPr="00D263D3">
        <w:rPr>
          <w:b/>
        </w:rPr>
        <w:t>: Special Floating</w:t>
      </w:r>
      <w:r w:rsidR="00481ABD">
        <w:rPr>
          <w:b/>
        </w:rPr>
        <w:t>-</w:t>
      </w:r>
      <w:r w:rsidR="00D263D3" w:rsidRPr="00D263D3">
        <w:rPr>
          <w:b/>
        </w:rPr>
        <w:t>Point Operations</w:t>
      </w:r>
    </w:p>
    <w:p w14:paraId="3170F3D0" w14:textId="5120CBAB" w:rsidR="007B23A8" w:rsidRPr="007B23A8" w:rsidRDefault="007B23A8" w:rsidP="007B23A8">
      <w:pPr>
        <w:widowControl w:val="0"/>
        <w:spacing w:line="240" w:lineRule="auto"/>
        <w:rPr>
          <w:b/>
        </w:rPr>
      </w:pPr>
      <w:r>
        <w:rPr>
          <w:b/>
        </w:rPr>
        <w:t>Arithmetic Instruction</w:t>
      </w:r>
      <w:r w:rsidR="005E62FA">
        <w:rPr>
          <w:b/>
        </w:rPr>
        <w:t>s</w:t>
      </w:r>
    </w:p>
    <w:p w14:paraId="30E55EEB" w14:textId="6A0DE0AB" w:rsidR="00D263D3" w:rsidRDefault="00EE72D9" w:rsidP="00D263D3">
      <w:pPr>
        <w:spacing w:line="240" w:lineRule="auto"/>
      </w:pPr>
      <w:r>
        <w:t>Many</w:t>
      </w:r>
      <w:r w:rsidR="00D263D3">
        <w:t xml:space="preserve"> </w:t>
      </w:r>
      <w:r w:rsidR="00745501">
        <w:t xml:space="preserve">other </w:t>
      </w:r>
      <w:r w:rsidR="00D263D3">
        <w:t>floating</w:t>
      </w:r>
      <w:r w:rsidR="00DF1628">
        <w:t>-</w:t>
      </w:r>
      <w:r w:rsidR="00D263D3">
        <w:t xml:space="preserve">point instructions </w:t>
      </w:r>
      <w:r w:rsidR="00DF01B5">
        <w:t>will be necessary for this lab</w:t>
      </w:r>
      <w:r w:rsidR="00D263D3">
        <w:t xml:space="preserve">. </w:t>
      </w:r>
      <w:r w:rsidR="00587932">
        <w:t xml:space="preserve"> </w:t>
      </w:r>
      <w:r w:rsidR="00D263D3">
        <w:t xml:space="preserve">First, </w:t>
      </w:r>
      <w:r w:rsidR="00A12F9C">
        <w:t>are</w:t>
      </w:r>
      <w:r w:rsidR="003D0CE6">
        <w:t xml:space="preserve"> </w:t>
      </w:r>
      <w:r w:rsidR="00D263D3">
        <w:t>single</w:t>
      </w:r>
      <w:r w:rsidR="00FE463E">
        <w:t>- or double-precision</w:t>
      </w:r>
      <w:r w:rsidR="00D263D3">
        <w:t xml:space="preserve"> floating</w:t>
      </w:r>
      <w:r w:rsidR="005B71FC">
        <w:t>-</w:t>
      </w:r>
      <w:r w:rsidR="00D263D3">
        <w:t xml:space="preserve">point </w:t>
      </w:r>
      <w:r w:rsidR="00A76DE0">
        <w:t xml:space="preserve">arithmetic instructions.  </w:t>
      </w:r>
      <w:r w:rsidR="007F2B01">
        <w:t xml:space="preserve">Each of these instructions uses the suffix </w:t>
      </w:r>
      <w:r w:rsidR="007F2B01" w:rsidRPr="00CA5255">
        <w:rPr>
          <w:i/>
        </w:rPr>
        <w:t>.s</w:t>
      </w:r>
      <w:r w:rsidR="007F2B01">
        <w:t xml:space="preserve"> or </w:t>
      </w:r>
      <w:r w:rsidR="007F2B01" w:rsidRPr="00CA5255">
        <w:rPr>
          <w:i/>
        </w:rPr>
        <w:t>.d</w:t>
      </w:r>
      <w:r w:rsidR="007F2B01">
        <w:t xml:space="preserve"> is used to indicate whether the operands and results are single- or double-precision floating-point values.</w:t>
      </w:r>
      <w:r w:rsidR="0082558B">
        <w:t xml:space="preserve">  </w:t>
      </w:r>
      <w:r w:rsidR="005B6987">
        <w:t>Arithmetic i</w:t>
      </w:r>
      <w:r w:rsidR="00C64770">
        <w:t xml:space="preserve">nstructions that you will find useful for this lab </w:t>
      </w:r>
      <w:r w:rsidR="008D1A27">
        <w:t xml:space="preserve">are: </w:t>
      </w:r>
      <w:r w:rsidR="00AD1EF4" w:rsidRPr="005B13BB">
        <w:rPr>
          <w:i/>
        </w:rPr>
        <w:t>add.s</w:t>
      </w:r>
      <w:r w:rsidR="00AD1EF4">
        <w:t>/</w:t>
      </w:r>
      <w:r w:rsidR="00AD1EF4" w:rsidRPr="005B13BB">
        <w:rPr>
          <w:i/>
        </w:rPr>
        <w:t>add.d</w:t>
      </w:r>
      <w:r w:rsidR="00AD1EF4">
        <w:t xml:space="preserve">, </w:t>
      </w:r>
      <w:r w:rsidR="00AD1EF4" w:rsidRPr="005B13BB">
        <w:rPr>
          <w:i/>
        </w:rPr>
        <w:t>sub.s</w:t>
      </w:r>
      <w:r w:rsidR="00AD1EF4">
        <w:t>/</w:t>
      </w:r>
      <w:r w:rsidR="00AD1EF4" w:rsidRPr="005B13BB">
        <w:rPr>
          <w:i/>
        </w:rPr>
        <w:t>sub.d</w:t>
      </w:r>
      <w:r w:rsidR="00AD1EF4">
        <w:t xml:space="preserve">, </w:t>
      </w:r>
      <w:r w:rsidR="00AD1EF4" w:rsidRPr="005B13BB">
        <w:rPr>
          <w:i/>
        </w:rPr>
        <w:t>abs.s</w:t>
      </w:r>
      <w:r w:rsidR="00AD1EF4">
        <w:t>/</w:t>
      </w:r>
      <w:r w:rsidR="00AD1EF4" w:rsidRPr="005B13BB">
        <w:rPr>
          <w:i/>
        </w:rPr>
        <w:t>abs.d</w:t>
      </w:r>
      <w:r w:rsidR="00AD1EF4">
        <w:t xml:space="preserve">, </w:t>
      </w:r>
      <w:r w:rsidR="00AD1EF4" w:rsidRPr="000572C8">
        <w:rPr>
          <w:i/>
        </w:rPr>
        <w:t>mul.s</w:t>
      </w:r>
      <w:r w:rsidR="00AD1EF4">
        <w:t>/</w:t>
      </w:r>
      <w:r w:rsidR="00AD1EF4" w:rsidRPr="000572C8">
        <w:rPr>
          <w:i/>
        </w:rPr>
        <w:t>mul.d</w:t>
      </w:r>
      <w:r w:rsidR="00AD1EF4">
        <w:t xml:space="preserve">, </w:t>
      </w:r>
      <w:r w:rsidR="001E3B77">
        <w:t xml:space="preserve">and </w:t>
      </w:r>
      <w:r w:rsidR="00AD1EF4" w:rsidRPr="009E65E3">
        <w:rPr>
          <w:i/>
        </w:rPr>
        <w:t>div.s</w:t>
      </w:r>
      <w:r w:rsidR="00AD1EF4">
        <w:t>/</w:t>
      </w:r>
      <w:r w:rsidR="00AD1EF4" w:rsidRPr="009E65E3">
        <w:rPr>
          <w:i/>
        </w:rPr>
        <w:t>div.d</w:t>
      </w:r>
      <w:r w:rsidR="008D522E">
        <w:t>.</w:t>
      </w:r>
      <w:r w:rsidR="00F25170">
        <w:t xml:space="preserve">  These are</w:t>
      </w:r>
      <w:r w:rsidR="00BD27AD">
        <w:t xml:space="preserve"> floating-point addition, subtraction, </w:t>
      </w:r>
      <w:r w:rsidR="00A84BC5">
        <w:t xml:space="preserve">absolute value, </w:t>
      </w:r>
      <w:r w:rsidR="00CD278B">
        <w:t xml:space="preserve">multiply, </w:t>
      </w:r>
      <w:r w:rsidR="00904EE7">
        <w:t xml:space="preserve">and divide.  </w:t>
      </w:r>
      <w:r w:rsidR="00041FA5">
        <w:t xml:space="preserve">When using these instructions, the source operands must be in </w:t>
      </w:r>
      <w:r w:rsidR="00041FA5" w:rsidRPr="00F53321">
        <w:rPr>
          <w:b/>
        </w:rPr>
        <w:t>$fX</w:t>
      </w:r>
      <w:r w:rsidR="00041FA5">
        <w:t xml:space="preserve"> registers.  The destination register must also be an </w:t>
      </w:r>
      <w:r w:rsidR="00041FA5" w:rsidRPr="00D706B2">
        <w:rPr>
          <w:b/>
        </w:rPr>
        <w:t>$fX</w:t>
      </w:r>
      <w:r w:rsidR="00041FA5">
        <w:t xml:space="preserve"> register.</w:t>
      </w:r>
    </w:p>
    <w:p w14:paraId="6E28B8E8" w14:textId="77777777" w:rsidR="00F9022F" w:rsidRDefault="00F9022F" w:rsidP="00D263D3">
      <w:pPr>
        <w:spacing w:line="240" w:lineRule="auto"/>
      </w:pPr>
    </w:p>
    <w:p w14:paraId="2B4A95BE" w14:textId="42BF2DAE" w:rsidR="00F9022F" w:rsidRPr="007B23A8" w:rsidRDefault="00B74501" w:rsidP="00F9022F">
      <w:pPr>
        <w:widowControl w:val="0"/>
        <w:spacing w:line="240" w:lineRule="auto"/>
        <w:rPr>
          <w:b/>
        </w:rPr>
      </w:pPr>
      <w:r>
        <w:rPr>
          <w:b/>
        </w:rPr>
        <w:lastRenderedPageBreak/>
        <w:t>Load/Store</w:t>
      </w:r>
      <w:r w:rsidR="00F9022F">
        <w:rPr>
          <w:b/>
        </w:rPr>
        <w:t xml:space="preserve"> Instructions</w:t>
      </w:r>
    </w:p>
    <w:p w14:paraId="731C378A" w14:textId="6EE1F960" w:rsidR="00EA3556" w:rsidRDefault="0061611E" w:rsidP="00D263D3">
      <w:pPr>
        <w:spacing w:line="240" w:lineRule="auto"/>
      </w:pPr>
      <w:r>
        <w:t>L</w:t>
      </w:r>
      <w:r w:rsidR="00D263D3">
        <w:t>oading floating</w:t>
      </w:r>
      <w:r w:rsidR="003C1F23">
        <w:t>-</w:t>
      </w:r>
      <w:r w:rsidR="00D263D3">
        <w:t xml:space="preserve">point numbers from </w:t>
      </w:r>
      <w:r w:rsidR="00E6678B">
        <w:t>memory</w:t>
      </w:r>
      <w:r w:rsidR="00D263D3">
        <w:t xml:space="preserve"> can be </w:t>
      </w:r>
      <w:r w:rsidR="003F3790">
        <w:t>accomplished</w:t>
      </w:r>
      <w:r w:rsidR="00D263D3">
        <w:t xml:space="preserve"> using pseudo-instruction</w:t>
      </w:r>
      <w:r w:rsidR="00336904">
        <w:t>s</w:t>
      </w:r>
      <w:r w:rsidR="003D0F6B">
        <w:t xml:space="preserve"> specifically </w:t>
      </w:r>
      <w:r w:rsidR="00873D23">
        <w:t xml:space="preserve">for loading </w:t>
      </w:r>
      <w:r w:rsidR="005F7FEC">
        <w:t>floating</w:t>
      </w:r>
      <w:r w:rsidR="00873D23">
        <w:t>-point values</w:t>
      </w:r>
      <w:r w:rsidR="00747FB8">
        <w:t>:</w:t>
      </w:r>
      <w:r w:rsidR="00D263D3">
        <w:t xml:space="preserve"> </w:t>
      </w:r>
      <w:r w:rsidR="00D263D3">
        <w:rPr>
          <w:i/>
        </w:rPr>
        <w:t>l.s/</w:t>
      </w:r>
      <w:r w:rsidR="00A97621">
        <w:rPr>
          <w:i/>
        </w:rPr>
        <w:t>l.</w:t>
      </w:r>
      <w:r w:rsidR="00D263D3">
        <w:rPr>
          <w:i/>
        </w:rPr>
        <w:t xml:space="preserve">d </w:t>
      </w:r>
      <w:r w:rsidR="002702DC">
        <w:rPr>
          <w:i/>
        </w:rPr>
        <w:t>$fX</w:t>
      </w:r>
      <w:r w:rsidR="00FF49E3">
        <w:rPr>
          <w:i/>
        </w:rPr>
        <w:t>,</w:t>
      </w:r>
      <w:r w:rsidR="002702DC">
        <w:rPr>
          <w:i/>
        </w:rPr>
        <w:t xml:space="preserve"> </w:t>
      </w:r>
      <w:r w:rsidR="00D263D3">
        <w:rPr>
          <w:i/>
        </w:rPr>
        <w:t>&lt;label&gt;</w:t>
      </w:r>
      <w:r w:rsidR="00D263D3">
        <w:t>.</w:t>
      </w:r>
      <w:r w:rsidR="00DB4935">
        <w:t xml:space="preserve"> </w:t>
      </w:r>
      <w:r w:rsidR="00D263D3">
        <w:t xml:space="preserve"> Th</w:t>
      </w:r>
      <w:r w:rsidR="002F69B6">
        <w:t>e</w:t>
      </w:r>
      <w:r w:rsidR="00D263D3">
        <w:t>s</w:t>
      </w:r>
      <w:r w:rsidR="002F69B6">
        <w:t>e</w:t>
      </w:r>
      <w:r w:rsidR="00D263D3">
        <w:t xml:space="preserve"> instruction</w:t>
      </w:r>
      <w:r w:rsidR="00312877">
        <w:t>s load</w:t>
      </w:r>
      <w:r w:rsidR="00D263D3">
        <w:t xml:space="preserve"> the first single</w:t>
      </w:r>
      <w:r w:rsidR="00855EB6">
        <w:t>-</w:t>
      </w:r>
      <w:r w:rsidR="00D263D3">
        <w:t xml:space="preserve"> or double</w:t>
      </w:r>
      <w:r w:rsidR="00855EB6">
        <w:t>-precision</w:t>
      </w:r>
      <w:r w:rsidR="00D263D3">
        <w:t xml:space="preserve"> floating</w:t>
      </w:r>
      <w:r w:rsidR="00855EB6">
        <w:t>-</w:t>
      </w:r>
      <w:r w:rsidR="002854B3">
        <w:t>point value</w:t>
      </w:r>
      <w:r w:rsidR="00D263D3">
        <w:t xml:space="preserve"> </w:t>
      </w:r>
      <w:r w:rsidR="00D22504">
        <w:t xml:space="preserve">at the memory address </w:t>
      </w:r>
      <w:r w:rsidR="00D263D3">
        <w:t>specified by the label</w:t>
      </w:r>
      <w:r w:rsidR="00E978F7">
        <w:t xml:space="preserve"> (similar to the </w:t>
      </w:r>
      <w:r w:rsidR="00E978F7" w:rsidRPr="004A6F74">
        <w:rPr>
          <w:i/>
        </w:rPr>
        <w:t>lw</w:t>
      </w:r>
      <w:r w:rsidR="00E978F7">
        <w:t xml:space="preserve"> instruction)</w:t>
      </w:r>
      <w:r w:rsidR="00BC3CF9">
        <w:t xml:space="preserve"> and store it into the </w:t>
      </w:r>
      <w:r w:rsidR="00BC3CF9" w:rsidRPr="00EE00D7">
        <w:rPr>
          <w:b/>
        </w:rPr>
        <w:t>$fX</w:t>
      </w:r>
      <w:r w:rsidR="00BC3CF9">
        <w:t xml:space="preserve"> register specified.</w:t>
      </w:r>
      <w:r w:rsidR="00646B20">
        <w:t xml:space="preserve">  Likewise, </w:t>
      </w:r>
      <w:r w:rsidR="00177688">
        <w:t xml:space="preserve">storing floating-point </w:t>
      </w:r>
      <w:r w:rsidR="008B5B85">
        <w:t>values</w:t>
      </w:r>
      <w:r w:rsidR="00371DC6">
        <w:t xml:space="preserve"> </w:t>
      </w:r>
      <w:r w:rsidR="00E03D04">
        <w:t xml:space="preserve">can be accomplished using </w:t>
      </w:r>
      <w:r w:rsidR="000810D3" w:rsidRPr="000810D3">
        <w:rPr>
          <w:i/>
        </w:rPr>
        <w:t>s.s</w:t>
      </w:r>
      <w:r w:rsidR="000810D3">
        <w:t>/</w:t>
      </w:r>
      <w:r w:rsidR="000810D3" w:rsidRPr="000810D3">
        <w:rPr>
          <w:i/>
        </w:rPr>
        <w:t>s.</w:t>
      </w:r>
      <w:r w:rsidR="000810D3" w:rsidRPr="00866B94">
        <w:rPr>
          <w:i/>
        </w:rPr>
        <w:t>d $fX, &lt;label&gt;</w:t>
      </w:r>
      <w:r w:rsidR="00866B94" w:rsidRPr="00E8224B">
        <w:t>.</w:t>
      </w:r>
      <w:r w:rsidR="00E8224B" w:rsidRPr="00E8224B">
        <w:t xml:space="preserve">  </w:t>
      </w:r>
      <w:r w:rsidR="008B3D2C">
        <w:t xml:space="preserve">There </w:t>
      </w:r>
      <w:r w:rsidR="00A43423">
        <w:t xml:space="preserve">are some </w:t>
      </w:r>
      <w:r w:rsidR="00812F49">
        <w:t xml:space="preserve">very important </w:t>
      </w:r>
      <w:r w:rsidR="006020DA">
        <w:t xml:space="preserve">points to note when </w:t>
      </w:r>
      <w:r w:rsidR="00C1309A">
        <w:t xml:space="preserve">loading and storing </w:t>
      </w:r>
      <w:r w:rsidR="00136489">
        <w:t xml:space="preserve">double-precision floating-point values.  </w:t>
      </w:r>
      <w:r w:rsidR="006754E2">
        <w:t xml:space="preserve">Firstly, </w:t>
      </w:r>
      <w:r w:rsidR="00AF628C">
        <w:t xml:space="preserve">double-precision floating-point values </w:t>
      </w:r>
      <w:r w:rsidR="00A10B69">
        <w:t xml:space="preserve">are 8 bytes </w:t>
      </w:r>
      <w:r w:rsidR="000A65D5">
        <w:t>and consume TWO words of memory.</w:t>
      </w:r>
      <w:r w:rsidR="00A5695D">
        <w:t xml:space="preserve">  </w:t>
      </w:r>
      <w:r w:rsidR="002D778B">
        <w:t xml:space="preserve">That is, if you </w:t>
      </w:r>
      <w:r w:rsidR="00984FEC">
        <w:t>run the following instruction:</w:t>
      </w:r>
    </w:p>
    <w:p w14:paraId="53CB49C3" w14:textId="30B4C7C9" w:rsidR="00EA3556" w:rsidRDefault="00C27047" w:rsidP="00D263D3">
      <w:pPr>
        <w:spacing w:line="240" w:lineRule="auto"/>
      </w:pPr>
      <w:r>
        <w:tab/>
      </w:r>
      <w:r w:rsidR="00FF38DE" w:rsidRPr="00EA3556">
        <w:rPr>
          <w:i/>
        </w:rPr>
        <w:t>s.d</w:t>
      </w:r>
      <w:r w:rsidR="0022163A">
        <w:rPr>
          <w:i/>
        </w:rPr>
        <w:t xml:space="preserve"> </w:t>
      </w:r>
      <w:r w:rsidR="00FF38DE" w:rsidRPr="00EA3556">
        <w:rPr>
          <w:i/>
        </w:rPr>
        <w:t xml:space="preserve"> </w:t>
      </w:r>
      <w:r w:rsidR="008A7D5D" w:rsidRPr="00EA3556">
        <w:rPr>
          <w:i/>
        </w:rPr>
        <w:t>$f0,</w:t>
      </w:r>
      <w:r w:rsidR="0022163A">
        <w:rPr>
          <w:i/>
        </w:rPr>
        <w:t xml:space="preserve"> </w:t>
      </w:r>
      <w:r w:rsidR="008A7D5D" w:rsidRPr="00EA3556">
        <w:rPr>
          <w:i/>
        </w:rPr>
        <w:t xml:space="preserve"> 0x10010000</w:t>
      </w:r>
      <w:r w:rsidR="005445C1" w:rsidRPr="007D7B5D">
        <w:tab/>
      </w:r>
      <w:r w:rsidR="005445C1" w:rsidRPr="00D41224">
        <w:t xml:space="preserve"># </w:t>
      </w:r>
      <w:r w:rsidR="00535552">
        <w:t xml:space="preserve">assume </w:t>
      </w:r>
      <w:r w:rsidR="005445C1" w:rsidRPr="00613673">
        <w:rPr>
          <w:b/>
        </w:rPr>
        <w:t>$f0</w:t>
      </w:r>
      <w:r w:rsidR="005445C1" w:rsidRPr="00D41224">
        <w:t xml:space="preserve"> </w:t>
      </w:r>
      <w:r w:rsidR="00C654BB">
        <w:t>contains</w:t>
      </w:r>
      <w:r w:rsidR="00210BAE">
        <w:t xml:space="preserve"> to the </w:t>
      </w:r>
      <w:r w:rsidR="006957B2">
        <w:t xml:space="preserve">64-bit </w:t>
      </w:r>
      <w:r w:rsidR="00AA3BEC">
        <w:t>d</w:t>
      </w:r>
      <w:r w:rsidR="00AA3BEC" w:rsidRPr="001D2CF1">
        <w:t>ouble</w:t>
      </w:r>
      <w:r w:rsidR="005445C1" w:rsidRPr="001D2CF1">
        <w:t xml:space="preserve"> </w:t>
      </w:r>
      <w:r w:rsidR="00DE1525" w:rsidRPr="001D2CF1">
        <w:t>0x12345678</w:t>
      </w:r>
      <w:r w:rsidR="001F4BD4">
        <w:t>_</w:t>
      </w:r>
      <w:r w:rsidR="00DE1525" w:rsidRPr="001D2CF1">
        <w:t>A5A5A5A5</w:t>
      </w:r>
      <w:r w:rsidR="0065732A" w:rsidRPr="001D2CF1">
        <w:br/>
      </w:r>
      <w:r w:rsidR="0065732A">
        <w:tab/>
      </w:r>
      <w:r w:rsidR="0065732A">
        <w:tab/>
      </w:r>
      <w:r w:rsidR="0065732A">
        <w:tab/>
      </w:r>
      <w:r w:rsidR="0065732A">
        <w:tab/>
        <w:t xml:space="preserve"># where </w:t>
      </w:r>
      <w:r w:rsidR="008B35D9" w:rsidRPr="00613673">
        <w:rPr>
          <w:b/>
        </w:rPr>
        <w:t>$f1</w:t>
      </w:r>
      <w:r w:rsidR="00B24E28">
        <w:t xml:space="preserve"> contains</w:t>
      </w:r>
      <w:r w:rsidR="008B35D9">
        <w:t xml:space="preserve"> </w:t>
      </w:r>
      <w:r w:rsidR="002640DD" w:rsidRPr="004C06D6">
        <w:t>0x12345678</w:t>
      </w:r>
      <w:r w:rsidR="008B35D9">
        <w:t xml:space="preserve"> and </w:t>
      </w:r>
      <w:r w:rsidR="008B35D9" w:rsidRPr="00BE5721">
        <w:rPr>
          <w:b/>
        </w:rPr>
        <w:t>$f0</w:t>
      </w:r>
      <w:r w:rsidR="008B35D9">
        <w:t xml:space="preserve"> </w:t>
      </w:r>
      <w:r w:rsidR="00AF3BB4">
        <w:t>contains</w:t>
      </w:r>
      <w:r w:rsidR="008B35D9">
        <w:t xml:space="preserve"> </w:t>
      </w:r>
      <w:r w:rsidR="008B35D9" w:rsidRPr="004C06D6">
        <w:t>0x</w:t>
      </w:r>
      <w:r w:rsidR="003A318D" w:rsidRPr="001D2CF1">
        <w:t>A5A5A5A5</w:t>
      </w:r>
    </w:p>
    <w:p w14:paraId="256B1731" w14:textId="42ECA660" w:rsidR="008A7D5D" w:rsidRDefault="00E91E99" w:rsidP="00D263D3">
      <w:pPr>
        <w:spacing w:line="240" w:lineRule="auto"/>
      </w:pPr>
      <w:r>
        <w:t xml:space="preserve">the </w:t>
      </w:r>
      <w:r w:rsidR="00975221">
        <w:t xml:space="preserve">double-precision floating-point value </w:t>
      </w:r>
      <w:r w:rsidR="009D36D4">
        <w:t xml:space="preserve">stored in </w:t>
      </w:r>
      <w:r w:rsidR="00A02267">
        <w:t xml:space="preserve">registers </w:t>
      </w:r>
      <w:r w:rsidR="00247D0B" w:rsidRPr="00A17B09">
        <w:rPr>
          <w:b/>
        </w:rPr>
        <w:t>$f1</w:t>
      </w:r>
      <w:r w:rsidR="00247D0B">
        <w:t>+</w:t>
      </w:r>
      <w:r w:rsidR="00247D0B" w:rsidRPr="00A17B09">
        <w:rPr>
          <w:b/>
        </w:rPr>
        <w:t>$f0</w:t>
      </w:r>
      <w:r w:rsidR="00247D0B">
        <w:t xml:space="preserve"> will </w:t>
      </w:r>
      <w:r w:rsidR="00363210">
        <w:t xml:space="preserve">get stored in </w:t>
      </w:r>
      <w:r w:rsidR="006244E6">
        <w:t xml:space="preserve">memory </w:t>
      </w:r>
      <w:r w:rsidR="008F35A8">
        <w:t xml:space="preserve">starting at address 0x10010000.  </w:t>
      </w:r>
      <w:r w:rsidR="00F51AD9">
        <w:t xml:space="preserve">The contents of </w:t>
      </w:r>
      <w:r w:rsidR="00D020C0">
        <w:t>register</w:t>
      </w:r>
      <w:r w:rsidR="00F51AD9">
        <w:t xml:space="preserve"> </w:t>
      </w:r>
      <w:r w:rsidR="00F51AD9" w:rsidRPr="000E49D5">
        <w:rPr>
          <w:b/>
        </w:rPr>
        <w:t>$f0</w:t>
      </w:r>
      <w:r w:rsidR="00F51AD9">
        <w:t>, the least</w:t>
      </w:r>
      <w:r w:rsidR="00F14562">
        <w:t>-</w:t>
      </w:r>
      <w:r w:rsidR="00F51AD9">
        <w:t>significant word</w:t>
      </w:r>
      <w:r w:rsidR="00FC1DA1">
        <w:t>,</w:t>
      </w:r>
      <w:r w:rsidR="00F51AD9">
        <w:t xml:space="preserve"> </w:t>
      </w:r>
      <w:r w:rsidR="007202B6">
        <w:t xml:space="preserve">will get stored at </w:t>
      </w:r>
      <w:r w:rsidR="003D2A97">
        <w:t xml:space="preserve">address </w:t>
      </w:r>
      <w:r w:rsidR="007202B6">
        <w:t xml:space="preserve">0x10010000.  The contents of </w:t>
      </w:r>
      <w:r w:rsidR="00F14562">
        <w:t xml:space="preserve">register </w:t>
      </w:r>
      <w:r w:rsidR="00F14562" w:rsidRPr="001803AC">
        <w:rPr>
          <w:b/>
        </w:rPr>
        <w:t>$f1</w:t>
      </w:r>
      <w:r w:rsidR="00F14562">
        <w:t xml:space="preserve">, the most-significant word, will get stored at </w:t>
      </w:r>
      <w:r w:rsidR="000740A5">
        <w:t xml:space="preserve">address </w:t>
      </w:r>
      <w:r w:rsidR="00F14562">
        <w:t>0x10010004</w:t>
      </w:r>
      <w:r w:rsidR="00352274">
        <w:t>.</w:t>
      </w:r>
    </w:p>
    <w:p w14:paraId="0BB79A14" w14:textId="04B66CF8" w:rsidR="00E42D9B" w:rsidRDefault="00E42D9B" w:rsidP="00D263D3">
      <w:pPr>
        <w:spacing w:line="240" w:lineRule="auto"/>
      </w:pPr>
      <w:r w:rsidRPr="00143DFB">
        <w:rPr>
          <w:b/>
          <w:color w:val="FF0000"/>
        </w:rPr>
        <w:t>Also note</w:t>
      </w:r>
      <w:r w:rsidR="00E418C3" w:rsidRPr="00143DFB">
        <w:rPr>
          <w:b/>
          <w:color w:val="FF0000"/>
        </w:rPr>
        <w:t xml:space="preserve">, when </w:t>
      </w:r>
      <w:r w:rsidR="00631ECE" w:rsidRPr="00143DFB">
        <w:rPr>
          <w:b/>
          <w:color w:val="FF0000"/>
        </w:rPr>
        <w:t>storing</w:t>
      </w:r>
      <w:r w:rsidR="00516447" w:rsidRPr="00143DFB">
        <w:rPr>
          <w:b/>
          <w:color w:val="FF0000"/>
        </w:rPr>
        <w:t xml:space="preserve"> and </w:t>
      </w:r>
      <w:r w:rsidR="00631ECE" w:rsidRPr="00143DFB">
        <w:rPr>
          <w:b/>
          <w:color w:val="FF0000"/>
        </w:rPr>
        <w:t>loading</w:t>
      </w:r>
      <w:r w:rsidR="00516447" w:rsidRPr="00143DFB">
        <w:rPr>
          <w:b/>
          <w:color w:val="FF0000"/>
        </w:rPr>
        <w:t xml:space="preserve"> </w:t>
      </w:r>
      <w:r w:rsidR="00631ECE" w:rsidRPr="00143DFB">
        <w:rPr>
          <w:b/>
          <w:color w:val="FF0000"/>
        </w:rPr>
        <w:t>double-precision floating-point values</w:t>
      </w:r>
      <w:r w:rsidR="006D00A9" w:rsidRPr="00143DFB">
        <w:rPr>
          <w:b/>
          <w:color w:val="FF0000"/>
        </w:rPr>
        <w:t>, the memory address you specify MUST be doubleword aligned</w:t>
      </w:r>
      <w:r w:rsidR="00B03BF5" w:rsidRPr="00143DFB">
        <w:rPr>
          <w:b/>
          <w:color w:val="FF0000"/>
        </w:rPr>
        <w:t xml:space="preserve"> (this includes the stack)</w:t>
      </w:r>
      <w:r w:rsidR="006D00A9" w:rsidRPr="00143DFB">
        <w:rPr>
          <w:b/>
          <w:color w:val="FF0000"/>
        </w:rPr>
        <w:t>.</w:t>
      </w:r>
      <w:r w:rsidR="00882249">
        <w:t xml:space="preserve">  That is, the memory address </w:t>
      </w:r>
      <w:r w:rsidR="00673BC6">
        <w:t xml:space="preserve">must be </w:t>
      </w:r>
      <w:r w:rsidR="002A7710">
        <w:t xml:space="preserve">evenly </w:t>
      </w:r>
      <w:r w:rsidR="00673BC6">
        <w:t>d</w:t>
      </w:r>
      <w:r w:rsidR="00552C47">
        <w:t>ivisible by 8.</w:t>
      </w:r>
      <w:r w:rsidR="000E0A29">
        <w:t xml:space="preserve">  </w:t>
      </w:r>
      <w:r w:rsidR="001C2437">
        <w:t xml:space="preserve">A quick way to determine if a memory address is aligned on a doubleword boundary is to </w:t>
      </w:r>
      <w:r w:rsidR="005954DC">
        <w:t xml:space="preserve">examine the </w:t>
      </w:r>
      <w:r w:rsidR="007A1D6A">
        <w:t>3 least significant bits</w:t>
      </w:r>
      <w:r w:rsidR="00552832">
        <w:t xml:space="preserve"> of the address</w:t>
      </w:r>
      <w:r w:rsidR="00CE27DA">
        <w:t xml:space="preserve"> (bits 2 downto 0)</w:t>
      </w:r>
      <w:r w:rsidR="00F21717">
        <w:t xml:space="preserve">. </w:t>
      </w:r>
      <w:r w:rsidR="00412D90">
        <w:t xml:space="preserve"> </w:t>
      </w:r>
      <w:r w:rsidR="00F21717">
        <w:t>I</w:t>
      </w:r>
      <w:r w:rsidR="006E2EB9">
        <w:t xml:space="preserve">f </w:t>
      </w:r>
      <w:r w:rsidR="00587977">
        <w:t>the</w:t>
      </w:r>
      <w:r w:rsidR="006E2EB9">
        <w:t xml:space="preserve"> three </w:t>
      </w:r>
      <w:r w:rsidR="007C4471">
        <w:t xml:space="preserve">least significant bits of the address </w:t>
      </w:r>
      <w:r w:rsidR="006E2EB9">
        <w:t>are</w:t>
      </w:r>
      <w:r w:rsidR="003B77F8">
        <w:t xml:space="preserve"> all</w:t>
      </w:r>
      <w:r w:rsidR="006E2EB9">
        <w:t xml:space="preserve"> 0, </w:t>
      </w:r>
      <w:r w:rsidR="00671995">
        <w:t xml:space="preserve">then the </w:t>
      </w:r>
      <w:r w:rsidR="00195A7E">
        <w:t xml:space="preserve">memory address is </w:t>
      </w:r>
      <w:r w:rsidR="00412D90">
        <w:t xml:space="preserve">evenly divisible by 8 and </w:t>
      </w:r>
      <w:r w:rsidR="00B92250">
        <w:t>is therefore aligned on a doubleword boundary</w:t>
      </w:r>
      <w:r w:rsidR="003C18CA">
        <w:t>.</w:t>
      </w:r>
      <w:r w:rsidR="002736F9">
        <w:t xml:space="preserve">  When viewing </w:t>
      </w:r>
      <w:r w:rsidR="00E801AD">
        <w:t xml:space="preserve">memory </w:t>
      </w:r>
      <w:r w:rsidR="002736F9">
        <w:t xml:space="preserve">addresses in hexadecimal format, </w:t>
      </w:r>
      <w:r w:rsidR="00933F3D">
        <w:t>i</w:t>
      </w:r>
      <w:r w:rsidR="00937F89">
        <w:t>f</w:t>
      </w:r>
      <w:r w:rsidR="00933F3D">
        <w:t xml:space="preserve"> the least-significant hexadecimal character is 0x0 or 0x8</w:t>
      </w:r>
      <w:r w:rsidR="00D15E4B">
        <w:t xml:space="preserve">, then the </w:t>
      </w:r>
      <w:r w:rsidR="00276572">
        <w:t>memory address is</w:t>
      </w:r>
      <w:r w:rsidR="00E844D5">
        <w:t xml:space="preserve"> evenly</w:t>
      </w:r>
      <w:r w:rsidR="00276572">
        <w:t xml:space="preserve"> </w:t>
      </w:r>
      <w:r w:rsidR="00CE7895">
        <w:t>divisible by 8</w:t>
      </w:r>
      <w:r w:rsidR="00A16FCF">
        <w:t xml:space="preserve"> and is therefore aligned on a doubleword boundary</w:t>
      </w:r>
      <w:r w:rsidR="00CE7895">
        <w:t>.</w:t>
      </w:r>
    </w:p>
    <w:p w14:paraId="6B9C03DA" w14:textId="77777777" w:rsidR="00D07220" w:rsidRDefault="00D07220" w:rsidP="00D263D3">
      <w:pPr>
        <w:spacing w:line="240" w:lineRule="auto"/>
      </w:pPr>
    </w:p>
    <w:p w14:paraId="52EC7793" w14:textId="34B41233" w:rsidR="0037052D" w:rsidRPr="0037052D" w:rsidRDefault="0037052D" w:rsidP="0037052D">
      <w:pPr>
        <w:widowControl w:val="0"/>
        <w:spacing w:line="240" w:lineRule="auto"/>
        <w:rPr>
          <w:b/>
        </w:rPr>
      </w:pPr>
      <w:r>
        <w:rPr>
          <w:b/>
        </w:rPr>
        <w:t>Instructions</w:t>
      </w:r>
      <w:r w:rsidR="00D65559">
        <w:rPr>
          <w:b/>
        </w:rPr>
        <w:t xml:space="preserve"> to Move Data</w:t>
      </w:r>
    </w:p>
    <w:p w14:paraId="548FD784" w14:textId="4031D606" w:rsidR="00B201B6" w:rsidRDefault="00C660DE" w:rsidP="00D263D3">
      <w:pPr>
        <w:spacing w:line="240" w:lineRule="auto"/>
      </w:pPr>
      <w:r>
        <w:t>Occasionally</w:t>
      </w:r>
      <w:r w:rsidR="00596310">
        <w:t xml:space="preserve">, you may want to move </w:t>
      </w:r>
      <w:r w:rsidR="001A2671">
        <w:t xml:space="preserve">values between </w:t>
      </w:r>
      <w:r w:rsidR="00CE09C3">
        <w:t xml:space="preserve">floating-point registers.  </w:t>
      </w:r>
      <w:r w:rsidR="00081282">
        <w:t xml:space="preserve">You can move data from one </w:t>
      </w:r>
      <w:r w:rsidR="00081282" w:rsidRPr="00EE234A">
        <w:rPr>
          <w:b/>
        </w:rPr>
        <w:t>$fX</w:t>
      </w:r>
      <w:r w:rsidR="00081282">
        <w:t xml:space="preserve"> register to another </w:t>
      </w:r>
      <w:r w:rsidR="00081282" w:rsidRPr="008900F4">
        <w:rPr>
          <w:b/>
        </w:rPr>
        <w:t>$fX</w:t>
      </w:r>
      <w:r w:rsidR="00081282">
        <w:t xml:space="preserve"> register using the instruction </w:t>
      </w:r>
      <w:r w:rsidR="00081282" w:rsidRPr="008900F4">
        <w:rPr>
          <w:i/>
        </w:rPr>
        <w:t>mov.s</w:t>
      </w:r>
      <w:r w:rsidR="00081282">
        <w:t>/</w:t>
      </w:r>
      <w:r w:rsidR="00081282" w:rsidRPr="008900F4">
        <w:rPr>
          <w:i/>
        </w:rPr>
        <w:t>mov.d</w:t>
      </w:r>
      <w:r w:rsidR="004D6BE2">
        <w:t>.</w:t>
      </w:r>
      <w:r w:rsidR="0018072B">
        <w:t xml:space="preserve">  Note that the </w:t>
      </w:r>
      <w:r w:rsidR="0018072B" w:rsidRPr="002A61CC">
        <w:rPr>
          <w:i/>
        </w:rPr>
        <w:t>mov.d</w:t>
      </w:r>
      <w:r w:rsidR="0018072B">
        <w:t xml:space="preserve"> instruction </w:t>
      </w:r>
      <w:r w:rsidR="00D07E88">
        <w:t>moves the contents of two registers</w:t>
      </w:r>
      <w:r w:rsidR="00383F45">
        <w:t xml:space="preserve">.  </w:t>
      </w:r>
      <w:r w:rsidR="007D7B5D">
        <w:t>That is, if you run the following instruction:</w:t>
      </w:r>
    </w:p>
    <w:p w14:paraId="5E0B3988" w14:textId="1C56EAF0" w:rsidR="007D7B5D" w:rsidRDefault="007D7B5D" w:rsidP="00D263D3">
      <w:pPr>
        <w:spacing w:line="240" w:lineRule="auto"/>
      </w:pPr>
      <w:r>
        <w:tab/>
      </w:r>
      <w:r w:rsidRPr="000D5E0D">
        <w:rPr>
          <w:i/>
        </w:rPr>
        <w:t>mov.d  $f</w:t>
      </w:r>
      <w:r w:rsidR="005A4AB2" w:rsidRPr="000D5E0D">
        <w:rPr>
          <w:i/>
        </w:rPr>
        <w:t>12</w:t>
      </w:r>
      <w:r w:rsidRPr="000D5E0D">
        <w:rPr>
          <w:i/>
        </w:rPr>
        <w:t>, $f</w:t>
      </w:r>
      <w:r w:rsidR="005A4AB2" w:rsidRPr="000D5E0D">
        <w:rPr>
          <w:i/>
        </w:rPr>
        <w:t>0</w:t>
      </w:r>
      <w:r w:rsidR="00C654BB">
        <w:tab/>
      </w:r>
      <w:r w:rsidR="00014055" w:rsidRPr="00D41224">
        <w:t xml:space="preserve"># </w:t>
      </w:r>
      <w:r w:rsidR="00014055">
        <w:t xml:space="preserve">assume </w:t>
      </w:r>
      <w:r w:rsidR="00014055" w:rsidRPr="00613673">
        <w:rPr>
          <w:b/>
        </w:rPr>
        <w:t>$f0</w:t>
      </w:r>
      <w:r w:rsidR="00014055" w:rsidRPr="00D41224">
        <w:t xml:space="preserve"> </w:t>
      </w:r>
      <w:r w:rsidR="00014055">
        <w:t>contains to the 64-bit d</w:t>
      </w:r>
      <w:r w:rsidR="00014055" w:rsidRPr="001D2CF1">
        <w:t>ouble 0x12345678</w:t>
      </w:r>
      <w:r w:rsidR="00014055">
        <w:t>_</w:t>
      </w:r>
      <w:r w:rsidR="00014055" w:rsidRPr="001D2CF1">
        <w:t>A5A5A5A5</w:t>
      </w:r>
      <w:r w:rsidR="00A84461">
        <w:br/>
      </w:r>
      <w:r w:rsidR="00A84461">
        <w:tab/>
      </w:r>
      <w:r w:rsidR="00A84461">
        <w:tab/>
      </w:r>
      <w:r w:rsidR="00A84461">
        <w:tab/>
      </w:r>
      <w:r w:rsidR="00A84461">
        <w:tab/>
      </w:r>
      <w:r w:rsidR="00014055">
        <w:t xml:space="preserve"># where </w:t>
      </w:r>
      <w:r w:rsidR="00014055" w:rsidRPr="00613673">
        <w:rPr>
          <w:b/>
        </w:rPr>
        <w:t>$f1</w:t>
      </w:r>
      <w:r w:rsidR="00014055">
        <w:t xml:space="preserve"> contains </w:t>
      </w:r>
      <w:r w:rsidR="00014055" w:rsidRPr="004C06D6">
        <w:t>0x12345678</w:t>
      </w:r>
      <w:r w:rsidR="00014055">
        <w:t xml:space="preserve"> and </w:t>
      </w:r>
      <w:r w:rsidR="00014055" w:rsidRPr="00BE5721">
        <w:rPr>
          <w:b/>
        </w:rPr>
        <w:t>$f0</w:t>
      </w:r>
      <w:r w:rsidR="00014055">
        <w:t xml:space="preserve"> contains </w:t>
      </w:r>
      <w:r w:rsidR="00014055" w:rsidRPr="004C06D6">
        <w:t>0x</w:t>
      </w:r>
      <w:r w:rsidR="00014055" w:rsidRPr="001D2CF1">
        <w:t>A5A5A5A5</w:t>
      </w:r>
    </w:p>
    <w:p w14:paraId="3AE7E818" w14:textId="7DBABEF6" w:rsidR="007727A6" w:rsidRDefault="00CF2020" w:rsidP="00D263D3">
      <w:pPr>
        <w:spacing w:line="240" w:lineRule="auto"/>
      </w:pPr>
      <w:r>
        <w:t xml:space="preserve">the contents of register </w:t>
      </w:r>
      <w:r w:rsidRPr="00037910">
        <w:rPr>
          <w:b/>
        </w:rPr>
        <w:t>$f0</w:t>
      </w:r>
      <w:r>
        <w:t xml:space="preserve"> will get moved (copied) into register </w:t>
      </w:r>
      <w:r w:rsidRPr="00621F38">
        <w:rPr>
          <w:b/>
        </w:rPr>
        <w:t>$f12</w:t>
      </w:r>
      <w:r w:rsidR="00DD622A">
        <w:t xml:space="preserve"> while the contents of register </w:t>
      </w:r>
      <w:r w:rsidR="00DD622A" w:rsidRPr="006A3C00">
        <w:rPr>
          <w:b/>
        </w:rPr>
        <w:t>$f1</w:t>
      </w:r>
      <w:r w:rsidR="007D2043">
        <w:t xml:space="preserve"> will get moved (copied) into register </w:t>
      </w:r>
      <w:r w:rsidR="007D2043" w:rsidRPr="00621F38">
        <w:rPr>
          <w:b/>
        </w:rPr>
        <w:t>$f1</w:t>
      </w:r>
      <w:r w:rsidR="007D2043">
        <w:rPr>
          <w:b/>
        </w:rPr>
        <w:t>3</w:t>
      </w:r>
      <w:r w:rsidR="009D783D">
        <w:t>.</w:t>
      </w:r>
    </w:p>
    <w:p w14:paraId="7666C6A1" w14:textId="77777777" w:rsidR="00EB2228" w:rsidRDefault="00346C8C" w:rsidP="00EB2228">
      <w:pPr>
        <w:spacing w:line="240" w:lineRule="auto"/>
      </w:pPr>
      <w:r>
        <w:t xml:space="preserve">Other times, you may want to move </w:t>
      </w:r>
      <w:r w:rsidR="00072EA1">
        <w:t xml:space="preserve">values </w:t>
      </w:r>
      <w:r w:rsidR="002D130E">
        <w:t xml:space="preserve">from standard </w:t>
      </w:r>
      <w:r w:rsidR="002D130E" w:rsidRPr="008341EA">
        <w:rPr>
          <w:b/>
        </w:rPr>
        <w:t>$sX</w:t>
      </w:r>
      <w:r w:rsidR="002D130E">
        <w:t xml:space="preserve"> or </w:t>
      </w:r>
      <w:r w:rsidR="002D130E" w:rsidRPr="008341EA">
        <w:rPr>
          <w:b/>
        </w:rPr>
        <w:t>$tX</w:t>
      </w:r>
      <w:r w:rsidR="002D130E">
        <w:t xml:space="preserve"> registers into floating-point registers.</w:t>
      </w:r>
      <w:r w:rsidR="00BB4B37">
        <w:t xml:space="preserve">  Of course, there are special instructions </w:t>
      </w:r>
      <w:r w:rsidR="007B1A1C">
        <w:t xml:space="preserve">to move values into </w:t>
      </w:r>
      <w:r w:rsidR="00471830">
        <w:t>the floating-point coprocessor</w:t>
      </w:r>
      <w:r w:rsidR="0087218F">
        <w:t xml:space="preserve"> – </w:t>
      </w:r>
      <w:r w:rsidR="008A537B" w:rsidRPr="00A51336">
        <w:rPr>
          <w:i/>
        </w:rPr>
        <w:t>mfc1</w:t>
      </w:r>
      <w:r w:rsidR="008A537B">
        <w:t>/</w:t>
      </w:r>
      <w:r w:rsidR="008A537B" w:rsidRPr="00A51336">
        <w:rPr>
          <w:i/>
        </w:rPr>
        <w:t>mfc1.d</w:t>
      </w:r>
      <w:r w:rsidR="008A537B">
        <w:t xml:space="preserve"> </w:t>
      </w:r>
      <w:r w:rsidR="008D6569">
        <w:t>(“</w:t>
      </w:r>
      <w:r w:rsidR="008D6569" w:rsidRPr="008D6569">
        <w:rPr>
          <w:i/>
        </w:rPr>
        <w:t>move-from-coprocessor1</w:t>
      </w:r>
      <w:r w:rsidR="008D6569">
        <w:t xml:space="preserve">”) </w:t>
      </w:r>
      <w:r w:rsidR="008A537B">
        <w:t xml:space="preserve">and </w:t>
      </w:r>
      <w:r w:rsidR="008A537B" w:rsidRPr="008E2C03">
        <w:rPr>
          <w:i/>
        </w:rPr>
        <w:t>mtc1</w:t>
      </w:r>
      <w:r w:rsidR="008A537B">
        <w:t>/</w:t>
      </w:r>
      <w:r w:rsidR="008A537B" w:rsidRPr="00A72674">
        <w:rPr>
          <w:i/>
        </w:rPr>
        <w:t>mtc1.d</w:t>
      </w:r>
      <w:r w:rsidR="005B0EA6">
        <w:t xml:space="preserve"> (“</w:t>
      </w:r>
      <w:r w:rsidR="005B0EA6" w:rsidRPr="008D6569">
        <w:rPr>
          <w:i/>
        </w:rPr>
        <w:t>move-</w:t>
      </w:r>
      <w:r w:rsidR="00F26B23">
        <w:rPr>
          <w:i/>
        </w:rPr>
        <w:t>to</w:t>
      </w:r>
      <w:r w:rsidR="005B0EA6" w:rsidRPr="008D6569">
        <w:rPr>
          <w:i/>
        </w:rPr>
        <w:t>-coprocessor1</w:t>
      </w:r>
      <w:r w:rsidR="005B0EA6">
        <w:t>”)</w:t>
      </w:r>
      <w:r w:rsidR="00EC4623">
        <w:t xml:space="preserve">.  Just like the </w:t>
      </w:r>
      <w:r w:rsidR="00B855DF">
        <w:t>other double-precision instructions</w:t>
      </w:r>
      <w:r w:rsidR="00995398">
        <w:t xml:space="preserve"> the </w:t>
      </w:r>
      <w:r w:rsidR="00995398" w:rsidRPr="00995398">
        <w:rPr>
          <w:i/>
        </w:rPr>
        <w:t>mfc1.d</w:t>
      </w:r>
      <w:r w:rsidR="00995398">
        <w:t xml:space="preserve"> and </w:t>
      </w:r>
      <w:r w:rsidR="00995398" w:rsidRPr="00995398">
        <w:rPr>
          <w:i/>
        </w:rPr>
        <w:t>mtc1.d</w:t>
      </w:r>
      <w:r w:rsidR="00995398">
        <w:t xml:space="preserve"> instructions operate on </w:t>
      </w:r>
      <w:r w:rsidR="000B7246">
        <w:t>two registers.</w:t>
      </w:r>
      <w:r w:rsidR="00715572">
        <w:t xml:space="preserve">  </w:t>
      </w:r>
      <w:r w:rsidR="007D177D">
        <w:t>I</w:t>
      </w:r>
      <w:r w:rsidR="0054187C">
        <w:t>f you run the following instruction</w:t>
      </w:r>
      <w:r w:rsidR="00EB2228">
        <w:t>:</w:t>
      </w:r>
    </w:p>
    <w:p w14:paraId="5FDF1788" w14:textId="78A490A8" w:rsidR="00EB2228" w:rsidRDefault="00EB2228" w:rsidP="00EB2228">
      <w:pPr>
        <w:spacing w:line="240" w:lineRule="auto"/>
      </w:pPr>
      <w:r>
        <w:tab/>
      </w:r>
      <w:r w:rsidR="00C84789">
        <w:rPr>
          <w:i/>
        </w:rPr>
        <w:t>mfc1</w:t>
      </w:r>
      <w:r w:rsidRPr="000D5E0D">
        <w:rPr>
          <w:i/>
        </w:rPr>
        <w:t>.d  $</w:t>
      </w:r>
      <w:r w:rsidR="00D77705">
        <w:rPr>
          <w:i/>
        </w:rPr>
        <w:t>a0</w:t>
      </w:r>
      <w:r w:rsidRPr="000D5E0D">
        <w:rPr>
          <w:i/>
        </w:rPr>
        <w:t>, $f0</w:t>
      </w:r>
      <w:r>
        <w:tab/>
      </w:r>
      <w:r w:rsidRPr="00D41224">
        <w:t xml:space="preserve"># </w:t>
      </w:r>
      <w:r>
        <w:t xml:space="preserve">assume </w:t>
      </w:r>
      <w:r w:rsidRPr="00613673">
        <w:rPr>
          <w:b/>
        </w:rPr>
        <w:t>$f0</w:t>
      </w:r>
      <w:r w:rsidRPr="00D41224">
        <w:t xml:space="preserve"> </w:t>
      </w:r>
      <w:r>
        <w:t>contains to the 64-bit d</w:t>
      </w:r>
      <w:r w:rsidRPr="001D2CF1">
        <w:t>ouble 0x12345678</w:t>
      </w:r>
      <w:r>
        <w:t>_</w:t>
      </w:r>
      <w:r w:rsidRPr="001D2CF1">
        <w:t>A5A5A5A5</w:t>
      </w:r>
      <w:r>
        <w:br/>
      </w:r>
      <w:r>
        <w:tab/>
      </w:r>
      <w:r>
        <w:tab/>
      </w:r>
      <w:r>
        <w:tab/>
      </w:r>
      <w:r>
        <w:tab/>
        <w:t xml:space="preserve"># where </w:t>
      </w:r>
      <w:r w:rsidRPr="00613673">
        <w:rPr>
          <w:b/>
        </w:rPr>
        <w:t>$f1</w:t>
      </w:r>
      <w:r>
        <w:t xml:space="preserve"> contains </w:t>
      </w:r>
      <w:r w:rsidRPr="004C06D6">
        <w:t>0x12345678</w:t>
      </w:r>
      <w:r>
        <w:t xml:space="preserve"> and </w:t>
      </w:r>
      <w:r w:rsidRPr="00BE5721">
        <w:rPr>
          <w:b/>
        </w:rPr>
        <w:t>$f0</w:t>
      </w:r>
      <w:r>
        <w:t xml:space="preserve"> contains </w:t>
      </w:r>
      <w:r w:rsidRPr="004C06D6">
        <w:t>0x</w:t>
      </w:r>
      <w:r w:rsidRPr="001D2CF1">
        <w:t>A5A5A5A5</w:t>
      </w:r>
    </w:p>
    <w:p w14:paraId="23B7C937" w14:textId="6086D978" w:rsidR="007D177D" w:rsidRDefault="007F24B7" w:rsidP="00D263D3">
      <w:pPr>
        <w:spacing w:line="240" w:lineRule="auto"/>
      </w:pPr>
      <w:r>
        <w:t xml:space="preserve">the contents of register </w:t>
      </w:r>
      <w:r w:rsidRPr="00037910">
        <w:rPr>
          <w:b/>
        </w:rPr>
        <w:t>$f0</w:t>
      </w:r>
      <w:r>
        <w:t xml:space="preserve"> will get moved (copied) into register </w:t>
      </w:r>
      <w:r w:rsidRPr="00621F38">
        <w:rPr>
          <w:b/>
        </w:rPr>
        <w:t>$</w:t>
      </w:r>
      <w:r w:rsidR="00082E33">
        <w:rPr>
          <w:b/>
        </w:rPr>
        <w:t>a0</w:t>
      </w:r>
      <w:r>
        <w:t xml:space="preserve"> while the contents of register </w:t>
      </w:r>
      <w:r w:rsidRPr="006A3C00">
        <w:rPr>
          <w:b/>
        </w:rPr>
        <w:t>$f1</w:t>
      </w:r>
      <w:r>
        <w:t xml:space="preserve"> will get moved (copied) into register </w:t>
      </w:r>
      <w:r w:rsidRPr="00621F38">
        <w:rPr>
          <w:b/>
        </w:rPr>
        <w:t>$</w:t>
      </w:r>
      <w:r w:rsidR="000B34E8">
        <w:rPr>
          <w:b/>
        </w:rPr>
        <w:t>a1</w:t>
      </w:r>
      <w:r w:rsidR="00400170">
        <w:t xml:space="preserve">.  This is a bit-for-bit </w:t>
      </w:r>
      <w:r w:rsidR="00522A27">
        <w:t xml:space="preserve">move.  </w:t>
      </w:r>
      <w:r w:rsidR="00E043B1">
        <w:t xml:space="preserve">The </w:t>
      </w:r>
      <w:r w:rsidR="0001311B">
        <w:t>registers</w:t>
      </w:r>
      <w:r w:rsidR="00E043B1">
        <w:t xml:space="preserve"> </w:t>
      </w:r>
      <w:r w:rsidR="003555B7" w:rsidRPr="003555B7">
        <w:rPr>
          <w:b/>
        </w:rPr>
        <w:t>$a1</w:t>
      </w:r>
      <w:r w:rsidR="003555B7">
        <w:t>+</w:t>
      </w:r>
      <w:r w:rsidR="00E043B1" w:rsidRPr="00E043B1">
        <w:rPr>
          <w:b/>
        </w:rPr>
        <w:t>$a0</w:t>
      </w:r>
      <w:r w:rsidR="006D1B42">
        <w:t xml:space="preserve"> </w:t>
      </w:r>
      <w:r w:rsidR="00E043B1">
        <w:t xml:space="preserve">will contain </w:t>
      </w:r>
      <w:r w:rsidR="00764596">
        <w:t xml:space="preserve">the </w:t>
      </w:r>
      <w:r w:rsidR="005C2D58">
        <w:t xml:space="preserve">double-precision </w:t>
      </w:r>
      <w:r w:rsidR="00476A29">
        <w:t>floating-point value</w:t>
      </w:r>
      <w:r w:rsidR="00990CB4">
        <w:t xml:space="preserve"> that was stored in </w:t>
      </w:r>
      <w:r w:rsidR="00781141" w:rsidRPr="00781141">
        <w:rPr>
          <w:b/>
        </w:rPr>
        <w:t>$f1</w:t>
      </w:r>
      <w:r w:rsidR="00781141">
        <w:t>+</w:t>
      </w:r>
      <w:r w:rsidR="00781141" w:rsidRPr="00781141">
        <w:rPr>
          <w:b/>
        </w:rPr>
        <w:t>$f0</w:t>
      </w:r>
      <w:r w:rsidR="00781141">
        <w:t>.</w:t>
      </w:r>
      <w:r w:rsidR="00364D08">
        <w:t xml:space="preserve">  </w:t>
      </w:r>
      <w:r w:rsidR="00A96BA7">
        <w:t xml:space="preserve">That is, the data is </w:t>
      </w:r>
      <w:r w:rsidR="00A96BA7" w:rsidRPr="00A36BB5">
        <w:rPr>
          <w:b/>
        </w:rPr>
        <w:t>not</w:t>
      </w:r>
      <w:r w:rsidR="002C58F4">
        <w:t xml:space="preserve"> automatically converted into a two’s-complement integer</w:t>
      </w:r>
      <w:r w:rsidR="007F59B9">
        <w:t xml:space="preserve"> simple because it was moved int</w:t>
      </w:r>
      <w:r w:rsidR="0078164D">
        <w:t>o non-floating-point registers.</w:t>
      </w:r>
    </w:p>
    <w:p w14:paraId="76E79B19" w14:textId="77777777" w:rsidR="00D73023" w:rsidRDefault="0031438A" w:rsidP="00D73023">
      <w:pPr>
        <w:spacing w:line="240" w:lineRule="auto"/>
      </w:pPr>
      <w:r>
        <w:t>M</w:t>
      </w:r>
      <w:r w:rsidR="005F7C39">
        <w:t>ov</w:t>
      </w:r>
      <w:r>
        <w:t>ing</w:t>
      </w:r>
      <w:r w:rsidR="005F7C39">
        <w:t xml:space="preserve"> data </w:t>
      </w:r>
      <w:r>
        <w:t>into the floating-point coprocessor</w:t>
      </w:r>
      <w:r w:rsidR="00E147FC">
        <w:t xml:space="preserve"> works similarly</w:t>
      </w:r>
      <w:r w:rsidR="00B424E9">
        <w:t xml:space="preserve"> but uses the </w:t>
      </w:r>
      <w:r w:rsidR="001E3743" w:rsidRPr="001E3743">
        <w:rPr>
          <w:i/>
        </w:rPr>
        <w:t>mtc1</w:t>
      </w:r>
      <w:r w:rsidR="001E3743">
        <w:t>/</w:t>
      </w:r>
      <w:r w:rsidR="001E3743" w:rsidRPr="001E3743">
        <w:rPr>
          <w:i/>
        </w:rPr>
        <w:t>mtc1.d</w:t>
      </w:r>
      <w:r w:rsidR="001E3743">
        <w:t xml:space="preserve"> instruction.  </w:t>
      </w:r>
      <w:r w:rsidR="00C578B1">
        <w:t xml:space="preserve">One oddity of the </w:t>
      </w:r>
      <w:r w:rsidR="00C16BC0" w:rsidRPr="001E3743">
        <w:rPr>
          <w:i/>
        </w:rPr>
        <w:t>mtc1</w:t>
      </w:r>
      <w:r w:rsidR="00C16BC0">
        <w:t>/</w:t>
      </w:r>
      <w:r w:rsidR="00C16BC0" w:rsidRPr="001E3743">
        <w:rPr>
          <w:i/>
        </w:rPr>
        <w:t>mtc1.d</w:t>
      </w:r>
      <w:r w:rsidR="00C16BC0">
        <w:t xml:space="preserve"> instruction is that the </w:t>
      </w:r>
      <w:r w:rsidR="005E7FBA" w:rsidRPr="00530917">
        <w:rPr>
          <w:b/>
          <w:color w:val="FF0000"/>
        </w:rPr>
        <w:t xml:space="preserve">source operand </w:t>
      </w:r>
      <w:r w:rsidR="00C067F8" w:rsidRPr="00530917">
        <w:rPr>
          <w:b/>
          <w:color w:val="FF0000"/>
        </w:rPr>
        <w:t xml:space="preserve">is supplied before the </w:t>
      </w:r>
      <w:r w:rsidR="00EA0AA5" w:rsidRPr="00530917">
        <w:rPr>
          <w:b/>
          <w:color w:val="FF0000"/>
        </w:rPr>
        <w:t>destination operand</w:t>
      </w:r>
      <w:r w:rsidR="00EA0AA5">
        <w:t xml:space="preserve">.  </w:t>
      </w:r>
      <w:r w:rsidR="00D73023">
        <w:t>If you run the following instruction:</w:t>
      </w:r>
    </w:p>
    <w:p w14:paraId="2E36134F" w14:textId="7C68E5CA" w:rsidR="00D73023" w:rsidRDefault="00D73023" w:rsidP="00D73023">
      <w:pPr>
        <w:spacing w:line="240" w:lineRule="auto"/>
      </w:pPr>
      <w:r>
        <w:tab/>
      </w:r>
      <w:r>
        <w:rPr>
          <w:i/>
        </w:rPr>
        <w:t>m</w:t>
      </w:r>
      <w:r w:rsidR="00821194">
        <w:rPr>
          <w:i/>
        </w:rPr>
        <w:t>t</w:t>
      </w:r>
      <w:r>
        <w:rPr>
          <w:i/>
        </w:rPr>
        <w:t>c1</w:t>
      </w:r>
      <w:r w:rsidRPr="000D5E0D">
        <w:rPr>
          <w:i/>
        </w:rPr>
        <w:t>.d  $</w:t>
      </w:r>
      <w:r>
        <w:rPr>
          <w:i/>
        </w:rPr>
        <w:t>a0</w:t>
      </w:r>
      <w:r w:rsidRPr="000D5E0D">
        <w:rPr>
          <w:i/>
        </w:rPr>
        <w:t>, $f0</w:t>
      </w:r>
      <w:r>
        <w:tab/>
      </w:r>
      <w:r w:rsidR="000253BE">
        <w:t xml:space="preserve"># assume </w:t>
      </w:r>
      <w:r w:rsidR="000253BE" w:rsidRPr="00613673">
        <w:rPr>
          <w:b/>
        </w:rPr>
        <w:t>$</w:t>
      </w:r>
      <w:r w:rsidR="000253BE">
        <w:rPr>
          <w:b/>
        </w:rPr>
        <w:t>a</w:t>
      </w:r>
      <w:r w:rsidR="005B4F6F">
        <w:rPr>
          <w:b/>
        </w:rPr>
        <w:t>1</w:t>
      </w:r>
      <w:r w:rsidR="000253BE">
        <w:t xml:space="preserve"> contains </w:t>
      </w:r>
      <w:r w:rsidR="000253BE" w:rsidRPr="004C06D6">
        <w:t>0x12345678</w:t>
      </w:r>
      <w:r w:rsidR="000253BE">
        <w:t xml:space="preserve"> and </w:t>
      </w:r>
      <w:r w:rsidR="000253BE" w:rsidRPr="00BE5721">
        <w:rPr>
          <w:b/>
        </w:rPr>
        <w:t>$</w:t>
      </w:r>
      <w:r w:rsidR="00962B4C">
        <w:rPr>
          <w:b/>
        </w:rPr>
        <w:t>a</w:t>
      </w:r>
      <w:r w:rsidR="000253BE" w:rsidRPr="00BE5721">
        <w:rPr>
          <w:b/>
        </w:rPr>
        <w:t>0</w:t>
      </w:r>
      <w:r w:rsidR="000253BE">
        <w:t xml:space="preserve"> contains </w:t>
      </w:r>
      <w:r w:rsidR="000253BE" w:rsidRPr="004C06D6">
        <w:t>0x</w:t>
      </w:r>
      <w:r w:rsidR="000253BE" w:rsidRPr="001D2CF1">
        <w:t>A5A5A5A5</w:t>
      </w:r>
    </w:p>
    <w:p w14:paraId="3051A809" w14:textId="79125657" w:rsidR="005F7C39" w:rsidRDefault="00D73023" w:rsidP="00D73023">
      <w:pPr>
        <w:spacing w:line="240" w:lineRule="auto"/>
      </w:pPr>
      <w:r>
        <w:t>the contents of register</w:t>
      </w:r>
      <w:r w:rsidR="000B25FA">
        <w:t xml:space="preserve">s </w:t>
      </w:r>
      <w:r w:rsidR="000B25FA" w:rsidRPr="00511908">
        <w:rPr>
          <w:b/>
        </w:rPr>
        <w:t>$</w:t>
      </w:r>
      <w:r w:rsidR="00441E10">
        <w:rPr>
          <w:b/>
        </w:rPr>
        <w:t>a</w:t>
      </w:r>
      <w:r w:rsidR="000B25FA" w:rsidRPr="00511908">
        <w:rPr>
          <w:b/>
        </w:rPr>
        <w:t>1</w:t>
      </w:r>
      <w:r w:rsidR="000B25FA">
        <w:t>+</w:t>
      </w:r>
      <w:r w:rsidR="000B25FA" w:rsidRPr="00511908">
        <w:rPr>
          <w:b/>
        </w:rPr>
        <w:t>$</w:t>
      </w:r>
      <w:r w:rsidR="00441E10">
        <w:rPr>
          <w:b/>
        </w:rPr>
        <w:t>a</w:t>
      </w:r>
      <w:r w:rsidR="000B25FA" w:rsidRPr="00511908">
        <w:rPr>
          <w:b/>
        </w:rPr>
        <w:t>0</w:t>
      </w:r>
      <w:r w:rsidR="000B25FA">
        <w:t xml:space="preserve"> will get </w:t>
      </w:r>
      <w:r w:rsidR="007D12BB">
        <w:t>moved (copied) in</w:t>
      </w:r>
      <w:r w:rsidR="000B25FA">
        <w:t xml:space="preserve">to </w:t>
      </w:r>
      <w:r w:rsidR="008060D9">
        <w:t xml:space="preserve">registers </w:t>
      </w:r>
      <w:r w:rsidR="00C5027C" w:rsidRPr="00C5027C">
        <w:rPr>
          <w:b/>
        </w:rPr>
        <w:t>$f1</w:t>
      </w:r>
      <w:r w:rsidR="00C5027C">
        <w:t>+</w:t>
      </w:r>
      <w:r w:rsidR="00C5027C" w:rsidRPr="00C5027C">
        <w:rPr>
          <w:b/>
        </w:rPr>
        <w:t>$f0</w:t>
      </w:r>
      <w:r w:rsidR="00C5027C">
        <w:t xml:space="preserve">.  </w:t>
      </w:r>
      <w:r w:rsidR="007B4E1E">
        <w:t xml:space="preserve">That is, </w:t>
      </w:r>
      <w:r w:rsidR="007B4E1E" w:rsidRPr="001550BF">
        <w:rPr>
          <w:b/>
        </w:rPr>
        <w:t>$f1</w:t>
      </w:r>
      <w:r w:rsidR="007B4E1E">
        <w:t xml:space="preserve"> will get set to </w:t>
      </w:r>
      <w:r w:rsidR="00511908" w:rsidRPr="001D2CF1">
        <w:t>0x12345678</w:t>
      </w:r>
      <w:r w:rsidR="007B4E1E">
        <w:t xml:space="preserve"> and </w:t>
      </w:r>
      <w:r w:rsidR="007B4E1E" w:rsidRPr="007B4E1E">
        <w:rPr>
          <w:b/>
        </w:rPr>
        <w:t>$f0</w:t>
      </w:r>
      <w:r w:rsidR="007B4E1E">
        <w:t xml:space="preserve"> will get set to 0x</w:t>
      </w:r>
      <w:r w:rsidR="00511908" w:rsidRPr="001D2CF1">
        <w:t>A5A5A5A5</w:t>
      </w:r>
      <w:r w:rsidR="000818B6">
        <w:t xml:space="preserve">.  Note the implicit use of the </w:t>
      </w:r>
      <w:r w:rsidR="000818B6" w:rsidRPr="006E040D">
        <w:rPr>
          <w:b/>
        </w:rPr>
        <w:t>$a1</w:t>
      </w:r>
      <w:r w:rsidR="000818B6">
        <w:t xml:space="preserve"> register </w:t>
      </w:r>
      <w:r w:rsidR="00C77FEC">
        <w:t>due to</w:t>
      </w:r>
      <w:r w:rsidR="006E040D">
        <w:t xml:space="preserve"> </w:t>
      </w:r>
      <w:r w:rsidR="00407B4E">
        <w:t>the double-precision instruction.</w:t>
      </w:r>
    </w:p>
    <w:p w14:paraId="0944101A" w14:textId="5CAE53FF" w:rsidR="00475B4E" w:rsidRPr="00E02390" w:rsidRDefault="00E02390" w:rsidP="00E02390">
      <w:pPr>
        <w:pStyle w:val="Caption"/>
        <w:keepNext/>
        <w:jc w:val="center"/>
        <w:outlineLvl w:val="0"/>
        <w:rPr>
          <w:color w:val="000000" w:themeColor="text1"/>
        </w:rPr>
      </w:pPr>
      <w:r w:rsidRPr="003D6D78">
        <w:rPr>
          <w:color w:val="000000" w:themeColor="text1"/>
        </w:rPr>
        <w:lastRenderedPageBreak/>
        <w:t xml:space="preserve">Table </w:t>
      </w:r>
      <w:r w:rsidR="004F405F">
        <w:rPr>
          <w:color w:val="000000" w:themeColor="text1"/>
        </w:rPr>
        <w:t>2</w:t>
      </w:r>
      <w:r w:rsidRPr="003D6D78">
        <w:rPr>
          <w:color w:val="000000" w:themeColor="text1"/>
        </w:rPr>
        <w:t xml:space="preserve">: </w:t>
      </w:r>
      <w:r w:rsidR="004F405F">
        <w:rPr>
          <w:color w:val="000000" w:themeColor="text1"/>
        </w:rPr>
        <w:t>Additional</w:t>
      </w:r>
      <w:r w:rsidRPr="003D6D78">
        <w:rPr>
          <w:color w:val="000000" w:themeColor="text1"/>
        </w:rPr>
        <w:t xml:space="preserve"> </w:t>
      </w:r>
      <w:r>
        <w:rPr>
          <w:color w:val="000000" w:themeColor="text1"/>
        </w:rPr>
        <w:t>single-precision</w:t>
      </w:r>
      <w:r w:rsidRPr="003D6D78">
        <w:rPr>
          <w:color w:val="000000" w:themeColor="text1"/>
        </w:rPr>
        <w:t xml:space="preserve">, and </w:t>
      </w:r>
      <w:r>
        <w:rPr>
          <w:color w:val="000000" w:themeColor="text1"/>
        </w:rPr>
        <w:t>double-precision</w:t>
      </w:r>
      <w:r w:rsidRPr="003D6D78">
        <w:rPr>
          <w:color w:val="000000" w:themeColor="text1"/>
        </w:rPr>
        <w:t xml:space="preserve"> floating</w:t>
      </w:r>
      <w:r>
        <w:rPr>
          <w:color w:val="000000" w:themeColor="text1"/>
        </w:rPr>
        <w:t>-</w:t>
      </w:r>
      <w:r w:rsidRPr="003D6D78">
        <w:rPr>
          <w:color w:val="000000" w:themeColor="text1"/>
        </w:rPr>
        <w:t xml:space="preserve">point </w:t>
      </w:r>
      <w:r w:rsidR="00CB6599">
        <w:rPr>
          <w:color w:val="000000" w:themeColor="text1"/>
        </w:rPr>
        <w:t>instruction</w:t>
      </w:r>
      <w:r w:rsidR="00886EF1">
        <w:rPr>
          <w:color w:val="000000" w:themeColor="text1"/>
        </w:rPr>
        <w:t>s</w:t>
      </w:r>
    </w:p>
    <w:tbl>
      <w:tblPr>
        <w:tblStyle w:val="TableGrid"/>
        <w:tblW w:w="0" w:type="auto"/>
        <w:tblInd w:w="108" w:type="dxa"/>
        <w:tblLook w:val="04A0" w:firstRow="1" w:lastRow="0" w:firstColumn="1" w:lastColumn="0" w:noHBand="0" w:noVBand="1"/>
      </w:tblPr>
      <w:tblGrid>
        <w:gridCol w:w="3564"/>
        <w:gridCol w:w="3672"/>
        <w:gridCol w:w="3564"/>
      </w:tblGrid>
      <w:tr w:rsidR="00475B4E" w14:paraId="09DCC480" w14:textId="77777777" w:rsidTr="0011753D">
        <w:trPr>
          <w:trHeight w:val="360"/>
        </w:trPr>
        <w:tc>
          <w:tcPr>
            <w:tcW w:w="3564" w:type="dxa"/>
            <w:tcBorders>
              <w:bottom w:val="single" w:sz="12" w:space="0" w:color="auto"/>
              <w:right w:val="single" w:sz="12" w:space="0" w:color="auto"/>
            </w:tcBorders>
            <w:vAlign w:val="center"/>
          </w:tcPr>
          <w:p w14:paraId="5E7866AC" w14:textId="77777777" w:rsidR="00475B4E" w:rsidRDefault="00475B4E" w:rsidP="0011753D">
            <w:pPr>
              <w:spacing w:after="0"/>
              <w:jc w:val="center"/>
              <w:rPr>
                <w:i/>
              </w:rPr>
            </w:pPr>
            <w:r w:rsidRPr="00774895">
              <w:rPr>
                <w:b/>
              </w:rPr>
              <w:t>Integer Operation</w:t>
            </w:r>
            <w:r>
              <w:rPr>
                <w:b/>
              </w:rPr>
              <w:t>s</w:t>
            </w:r>
          </w:p>
        </w:tc>
        <w:tc>
          <w:tcPr>
            <w:tcW w:w="3672" w:type="dxa"/>
            <w:tcBorders>
              <w:left w:val="single" w:sz="12" w:space="0" w:color="auto"/>
              <w:bottom w:val="single" w:sz="12" w:space="0" w:color="auto"/>
              <w:right w:val="single" w:sz="12" w:space="0" w:color="auto"/>
            </w:tcBorders>
            <w:vAlign w:val="center"/>
          </w:tcPr>
          <w:p w14:paraId="4C07AEB3" w14:textId="77777777" w:rsidR="00475B4E" w:rsidRDefault="00475B4E" w:rsidP="0011753D">
            <w:pPr>
              <w:spacing w:after="0"/>
              <w:jc w:val="center"/>
              <w:rPr>
                <w:i/>
              </w:rPr>
            </w:pPr>
            <w:r>
              <w:rPr>
                <w:b/>
              </w:rPr>
              <w:t xml:space="preserve">Single-precision </w:t>
            </w:r>
            <w:r w:rsidRPr="00774895">
              <w:rPr>
                <w:b/>
              </w:rPr>
              <w:t>Floating</w:t>
            </w:r>
            <w:r>
              <w:rPr>
                <w:b/>
              </w:rPr>
              <w:t>-</w:t>
            </w:r>
            <w:r w:rsidRPr="00774895">
              <w:rPr>
                <w:b/>
              </w:rPr>
              <w:t>Point</w:t>
            </w:r>
            <w:r>
              <w:rPr>
                <w:b/>
              </w:rPr>
              <w:t xml:space="preserve"> Ops</w:t>
            </w:r>
          </w:p>
        </w:tc>
        <w:tc>
          <w:tcPr>
            <w:tcW w:w="3564" w:type="dxa"/>
            <w:tcBorders>
              <w:left w:val="single" w:sz="12" w:space="0" w:color="auto"/>
              <w:bottom w:val="single" w:sz="12" w:space="0" w:color="auto"/>
            </w:tcBorders>
            <w:vAlign w:val="center"/>
          </w:tcPr>
          <w:p w14:paraId="5DC5D72D" w14:textId="77777777" w:rsidR="00475B4E" w:rsidRDefault="00475B4E" w:rsidP="0011753D">
            <w:pPr>
              <w:spacing w:after="0"/>
              <w:jc w:val="center"/>
              <w:rPr>
                <w:i/>
              </w:rPr>
            </w:pPr>
            <w:r>
              <w:rPr>
                <w:b/>
              </w:rPr>
              <w:t xml:space="preserve">Double-precision </w:t>
            </w:r>
            <w:r w:rsidRPr="00774895">
              <w:rPr>
                <w:b/>
              </w:rPr>
              <w:t>Floating</w:t>
            </w:r>
            <w:r>
              <w:rPr>
                <w:b/>
              </w:rPr>
              <w:t>-</w:t>
            </w:r>
            <w:r w:rsidRPr="00774895">
              <w:rPr>
                <w:b/>
              </w:rPr>
              <w:t>Point</w:t>
            </w:r>
            <w:r>
              <w:rPr>
                <w:b/>
              </w:rPr>
              <w:t xml:space="preserve"> Ops</w:t>
            </w:r>
          </w:p>
        </w:tc>
      </w:tr>
      <w:tr w:rsidR="00475B4E" w14:paraId="72BD3F1F" w14:textId="77777777" w:rsidTr="0011753D">
        <w:trPr>
          <w:trHeight w:val="360"/>
        </w:trPr>
        <w:tc>
          <w:tcPr>
            <w:tcW w:w="3564" w:type="dxa"/>
            <w:tcBorders>
              <w:top w:val="single" w:sz="12" w:space="0" w:color="auto"/>
              <w:right w:val="single" w:sz="12" w:space="0" w:color="auto"/>
            </w:tcBorders>
            <w:vAlign w:val="center"/>
          </w:tcPr>
          <w:p w14:paraId="756B0C3B" w14:textId="1DC0E3C9" w:rsidR="00475B4E" w:rsidRPr="00774895" w:rsidRDefault="00B91256" w:rsidP="0011753D">
            <w:pPr>
              <w:spacing w:after="0"/>
              <w:jc w:val="center"/>
            </w:pPr>
            <w:r>
              <w:t>add</w:t>
            </w:r>
          </w:p>
        </w:tc>
        <w:tc>
          <w:tcPr>
            <w:tcW w:w="3672" w:type="dxa"/>
            <w:tcBorders>
              <w:top w:val="single" w:sz="12" w:space="0" w:color="auto"/>
              <w:left w:val="single" w:sz="12" w:space="0" w:color="auto"/>
              <w:right w:val="single" w:sz="12" w:space="0" w:color="auto"/>
            </w:tcBorders>
            <w:vAlign w:val="center"/>
          </w:tcPr>
          <w:p w14:paraId="26C13A4E" w14:textId="39325EF6" w:rsidR="00475B4E" w:rsidRPr="00774895" w:rsidRDefault="00B91256" w:rsidP="0011753D">
            <w:pPr>
              <w:spacing w:after="0"/>
              <w:jc w:val="center"/>
            </w:pPr>
            <w:r>
              <w:t>add.s</w:t>
            </w:r>
          </w:p>
        </w:tc>
        <w:tc>
          <w:tcPr>
            <w:tcW w:w="3564" w:type="dxa"/>
            <w:tcBorders>
              <w:top w:val="single" w:sz="12" w:space="0" w:color="auto"/>
              <w:left w:val="single" w:sz="12" w:space="0" w:color="auto"/>
            </w:tcBorders>
            <w:vAlign w:val="center"/>
          </w:tcPr>
          <w:p w14:paraId="5DE69A60" w14:textId="14C643D4" w:rsidR="00475B4E" w:rsidRPr="00774895" w:rsidRDefault="00B91256" w:rsidP="0011753D">
            <w:pPr>
              <w:spacing w:after="0"/>
              <w:jc w:val="center"/>
            </w:pPr>
            <w:r>
              <w:t>add.d</w:t>
            </w:r>
          </w:p>
        </w:tc>
      </w:tr>
      <w:tr w:rsidR="00475B4E" w14:paraId="5ED1BACD" w14:textId="77777777" w:rsidTr="0011753D">
        <w:trPr>
          <w:trHeight w:val="360"/>
        </w:trPr>
        <w:tc>
          <w:tcPr>
            <w:tcW w:w="3564" w:type="dxa"/>
            <w:tcBorders>
              <w:right w:val="single" w:sz="12" w:space="0" w:color="auto"/>
            </w:tcBorders>
            <w:vAlign w:val="center"/>
          </w:tcPr>
          <w:p w14:paraId="612B77D4" w14:textId="2E1FAF9A" w:rsidR="00475B4E" w:rsidRPr="00774895" w:rsidRDefault="004C61B8" w:rsidP="0011753D">
            <w:pPr>
              <w:spacing w:after="0"/>
              <w:jc w:val="center"/>
            </w:pPr>
            <w:r>
              <w:t>sub</w:t>
            </w:r>
          </w:p>
        </w:tc>
        <w:tc>
          <w:tcPr>
            <w:tcW w:w="3672" w:type="dxa"/>
            <w:tcBorders>
              <w:left w:val="single" w:sz="12" w:space="0" w:color="auto"/>
              <w:right w:val="single" w:sz="12" w:space="0" w:color="auto"/>
            </w:tcBorders>
            <w:vAlign w:val="center"/>
          </w:tcPr>
          <w:p w14:paraId="5BA0EBB0" w14:textId="0E2A233B" w:rsidR="00475B4E" w:rsidRPr="00774895" w:rsidRDefault="004C61B8" w:rsidP="0011753D">
            <w:pPr>
              <w:spacing w:after="0"/>
              <w:jc w:val="center"/>
            </w:pPr>
            <w:r>
              <w:t>sub.s</w:t>
            </w:r>
          </w:p>
        </w:tc>
        <w:tc>
          <w:tcPr>
            <w:tcW w:w="3564" w:type="dxa"/>
            <w:tcBorders>
              <w:left w:val="single" w:sz="12" w:space="0" w:color="auto"/>
            </w:tcBorders>
            <w:vAlign w:val="center"/>
          </w:tcPr>
          <w:p w14:paraId="477E9973" w14:textId="14812CA6" w:rsidR="00475B4E" w:rsidRPr="00774895" w:rsidRDefault="004C61B8" w:rsidP="0011753D">
            <w:pPr>
              <w:spacing w:after="0"/>
              <w:jc w:val="center"/>
            </w:pPr>
            <w:r>
              <w:t>sub.d</w:t>
            </w:r>
          </w:p>
        </w:tc>
      </w:tr>
      <w:tr w:rsidR="00475B4E" w14:paraId="6F9BE364" w14:textId="77777777" w:rsidTr="0011753D">
        <w:trPr>
          <w:trHeight w:val="360"/>
        </w:trPr>
        <w:tc>
          <w:tcPr>
            <w:tcW w:w="3564" w:type="dxa"/>
            <w:tcBorders>
              <w:right w:val="single" w:sz="12" w:space="0" w:color="auto"/>
            </w:tcBorders>
            <w:vAlign w:val="center"/>
          </w:tcPr>
          <w:p w14:paraId="2EF82523" w14:textId="1F8B3A8A" w:rsidR="00475B4E" w:rsidRDefault="003F46C3" w:rsidP="0011753D">
            <w:pPr>
              <w:spacing w:after="0"/>
              <w:jc w:val="center"/>
            </w:pPr>
            <w:r>
              <w:t>abs</w:t>
            </w:r>
          </w:p>
        </w:tc>
        <w:tc>
          <w:tcPr>
            <w:tcW w:w="3672" w:type="dxa"/>
            <w:tcBorders>
              <w:left w:val="single" w:sz="12" w:space="0" w:color="auto"/>
              <w:right w:val="single" w:sz="12" w:space="0" w:color="auto"/>
            </w:tcBorders>
            <w:vAlign w:val="center"/>
          </w:tcPr>
          <w:p w14:paraId="00B58151" w14:textId="01810026" w:rsidR="00475B4E" w:rsidRPr="00774895" w:rsidRDefault="003F46C3" w:rsidP="0011753D">
            <w:pPr>
              <w:spacing w:after="0"/>
              <w:jc w:val="center"/>
            </w:pPr>
            <w:r>
              <w:t>abs.s</w:t>
            </w:r>
          </w:p>
        </w:tc>
        <w:tc>
          <w:tcPr>
            <w:tcW w:w="3564" w:type="dxa"/>
            <w:tcBorders>
              <w:left w:val="single" w:sz="12" w:space="0" w:color="auto"/>
            </w:tcBorders>
            <w:vAlign w:val="center"/>
          </w:tcPr>
          <w:p w14:paraId="4E2EAC7C" w14:textId="315990B2" w:rsidR="00475B4E" w:rsidRPr="00774895" w:rsidRDefault="003F46C3" w:rsidP="0011753D">
            <w:pPr>
              <w:spacing w:after="0"/>
              <w:jc w:val="center"/>
            </w:pPr>
            <w:r>
              <w:t>abs.d</w:t>
            </w:r>
          </w:p>
        </w:tc>
      </w:tr>
      <w:tr w:rsidR="00475B4E" w14:paraId="600E9F09" w14:textId="77777777" w:rsidTr="0011753D">
        <w:trPr>
          <w:trHeight w:val="360"/>
        </w:trPr>
        <w:tc>
          <w:tcPr>
            <w:tcW w:w="3564" w:type="dxa"/>
            <w:tcBorders>
              <w:right w:val="single" w:sz="12" w:space="0" w:color="auto"/>
            </w:tcBorders>
            <w:vAlign w:val="center"/>
          </w:tcPr>
          <w:p w14:paraId="4A6F7088" w14:textId="2ED664CE" w:rsidR="00475B4E" w:rsidRDefault="000F6D87" w:rsidP="0011753D">
            <w:pPr>
              <w:spacing w:after="0"/>
              <w:jc w:val="center"/>
            </w:pPr>
            <w:r>
              <w:t>mul</w:t>
            </w:r>
          </w:p>
        </w:tc>
        <w:tc>
          <w:tcPr>
            <w:tcW w:w="3672" w:type="dxa"/>
            <w:tcBorders>
              <w:left w:val="single" w:sz="12" w:space="0" w:color="auto"/>
              <w:right w:val="single" w:sz="12" w:space="0" w:color="auto"/>
            </w:tcBorders>
            <w:vAlign w:val="center"/>
          </w:tcPr>
          <w:p w14:paraId="303CFF54" w14:textId="1CB9B19C" w:rsidR="00475B4E" w:rsidRPr="00774895" w:rsidRDefault="000F6D87" w:rsidP="0011753D">
            <w:pPr>
              <w:spacing w:after="0"/>
              <w:jc w:val="center"/>
            </w:pPr>
            <w:r>
              <w:t>mul.s</w:t>
            </w:r>
          </w:p>
        </w:tc>
        <w:tc>
          <w:tcPr>
            <w:tcW w:w="3564" w:type="dxa"/>
            <w:tcBorders>
              <w:left w:val="single" w:sz="12" w:space="0" w:color="auto"/>
            </w:tcBorders>
            <w:vAlign w:val="center"/>
          </w:tcPr>
          <w:p w14:paraId="2F1BFEE7" w14:textId="6EAE5DCA" w:rsidR="00475B4E" w:rsidRPr="00774895" w:rsidRDefault="000F6D87" w:rsidP="0011753D">
            <w:pPr>
              <w:spacing w:after="0"/>
              <w:jc w:val="center"/>
            </w:pPr>
            <w:r>
              <w:t>mul.d</w:t>
            </w:r>
          </w:p>
        </w:tc>
      </w:tr>
      <w:tr w:rsidR="00475B4E" w14:paraId="265D5ACB" w14:textId="77777777" w:rsidTr="0011753D">
        <w:trPr>
          <w:trHeight w:val="360"/>
        </w:trPr>
        <w:tc>
          <w:tcPr>
            <w:tcW w:w="3564" w:type="dxa"/>
            <w:tcBorders>
              <w:right w:val="single" w:sz="12" w:space="0" w:color="auto"/>
            </w:tcBorders>
            <w:vAlign w:val="center"/>
          </w:tcPr>
          <w:p w14:paraId="2BF8022C" w14:textId="1BB9917B" w:rsidR="00475B4E" w:rsidRDefault="00637E32" w:rsidP="0011753D">
            <w:pPr>
              <w:spacing w:after="0"/>
              <w:jc w:val="center"/>
            </w:pPr>
            <w:r>
              <w:t>div</w:t>
            </w:r>
          </w:p>
        </w:tc>
        <w:tc>
          <w:tcPr>
            <w:tcW w:w="3672" w:type="dxa"/>
            <w:tcBorders>
              <w:left w:val="single" w:sz="12" w:space="0" w:color="auto"/>
              <w:right w:val="single" w:sz="12" w:space="0" w:color="auto"/>
            </w:tcBorders>
            <w:vAlign w:val="center"/>
          </w:tcPr>
          <w:p w14:paraId="64782D05" w14:textId="72240BE1" w:rsidR="00475B4E" w:rsidRDefault="00637E32" w:rsidP="0011753D">
            <w:pPr>
              <w:spacing w:after="0"/>
              <w:jc w:val="center"/>
            </w:pPr>
            <w:r>
              <w:t>div.s</w:t>
            </w:r>
          </w:p>
        </w:tc>
        <w:tc>
          <w:tcPr>
            <w:tcW w:w="3564" w:type="dxa"/>
            <w:tcBorders>
              <w:left w:val="single" w:sz="12" w:space="0" w:color="auto"/>
            </w:tcBorders>
            <w:vAlign w:val="center"/>
          </w:tcPr>
          <w:p w14:paraId="71640D41" w14:textId="30953B97" w:rsidR="00475B4E" w:rsidRDefault="00637E32" w:rsidP="0011753D">
            <w:pPr>
              <w:spacing w:after="0"/>
              <w:jc w:val="center"/>
            </w:pPr>
            <w:r>
              <w:t>div.d</w:t>
            </w:r>
          </w:p>
        </w:tc>
      </w:tr>
      <w:tr w:rsidR="00475B4E" w14:paraId="3C621287" w14:textId="77777777" w:rsidTr="0011753D">
        <w:trPr>
          <w:trHeight w:val="360"/>
        </w:trPr>
        <w:tc>
          <w:tcPr>
            <w:tcW w:w="3564" w:type="dxa"/>
            <w:tcBorders>
              <w:right w:val="single" w:sz="12" w:space="0" w:color="auto"/>
            </w:tcBorders>
            <w:vAlign w:val="center"/>
          </w:tcPr>
          <w:p w14:paraId="6670F20A" w14:textId="048C720D" w:rsidR="00475B4E" w:rsidRDefault="00D13B6F" w:rsidP="0011753D">
            <w:pPr>
              <w:spacing w:after="0"/>
              <w:jc w:val="center"/>
            </w:pPr>
            <w:r>
              <w:t>lw</w:t>
            </w:r>
          </w:p>
        </w:tc>
        <w:tc>
          <w:tcPr>
            <w:tcW w:w="3672" w:type="dxa"/>
            <w:tcBorders>
              <w:left w:val="single" w:sz="12" w:space="0" w:color="auto"/>
              <w:right w:val="single" w:sz="12" w:space="0" w:color="auto"/>
            </w:tcBorders>
            <w:vAlign w:val="center"/>
          </w:tcPr>
          <w:p w14:paraId="160250BD" w14:textId="424B9207" w:rsidR="00475B4E" w:rsidRDefault="00D13B6F" w:rsidP="0011753D">
            <w:pPr>
              <w:spacing w:after="0"/>
              <w:jc w:val="center"/>
            </w:pPr>
            <w:r>
              <w:t>l.s</w:t>
            </w:r>
          </w:p>
        </w:tc>
        <w:tc>
          <w:tcPr>
            <w:tcW w:w="3564" w:type="dxa"/>
            <w:tcBorders>
              <w:left w:val="single" w:sz="12" w:space="0" w:color="auto"/>
            </w:tcBorders>
            <w:vAlign w:val="center"/>
          </w:tcPr>
          <w:p w14:paraId="71E013BC" w14:textId="61555709" w:rsidR="00475B4E" w:rsidRDefault="00D13B6F" w:rsidP="0011753D">
            <w:pPr>
              <w:spacing w:after="0"/>
              <w:jc w:val="center"/>
            </w:pPr>
            <w:r>
              <w:t>l.d</w:t>
            </w:r>
          </w:p>
        </w:tc>
      </w:tr>
      <w:tr w:rsidR="00D13B6F" w14:paraId="0457ECE5" w14:textId="77777777" w:rsidTr="0011753D">
        <w:trPr>
          <w:trHeight w:val="360"/>
        </w:trPr>
        <w:tc>
          <w:tcPr>
            <w:tcW w:w="3564" w:type="dxa"/>
            <w:tcBorders>
              <w:right w:val="single" w:sz="12" w:space="0" w:color="auto"/>
            </w:tcBorders>
            <w:vAlign w:val="center"/>
          </w:tcPr>
          <w:p w14:paraId="6B2F979F" w14:textId="62CEECA6" w:rsidR="00D13B6F" w:rsidRDefault="00D13B6F" w:rsidP="0011753D">
            <w:pPr>
              <w:spacing w:after="0"/>
              <w:jc w:val="center"/>
            </w:pPr>
            <w:r>
              <w:t>sw</w:t>
            </w:r>
          </w:p>
        </w:tc>
        <w:tc>
          <w:tcPr>
            <w:tcW w:w="3672" w:type="dxa"/>
            <w:tcBorders>
              <w:left w:val="single" w:sz="12" w:space="0" w:color="auto"/>
              <w:right w:val="single" w:sz="12" w:space="0" w:color="auto"/>
            </w:tcBorders>
            <w:vAlign w:val="center"/>
          </w:tcPr>
          <w:p w14:paraId="1BD88E86" w14:textId="075C57E6" w:rsidR="00D13B6F" w:rsidRDefault="00D13B6F" w:rsidP="0011753D">
            <w:pPr>
              <w:spacing w:after="0"/>
              <w:jc w:val="center"/>
            </w:pPr>
            <w:r>
              <w:t>s.s</w:t>
            </w:r>
          </w:p>
        </w:tc>
        <w:tc>
          <w:tcPr>
            <w:tcW w:w="3564" w:type="dxa"/>
            <w:tcBorders>
              <w:left w:val="single" w:sz="12" w:space="0" w:color="auto"/>
            </w:tcBorders>
            <w:vAlign w:val="center"/>
          </w:tcPr>
          <w:p w14:paraId="5DE0638C" w14:textId="6494E34F" w:rsidR="00D13B6F" w:rsidRDefault="00D13B6F" w:rsidP="0011753D">
            <w:pPr>
              <w:spacing w:after="0"/>
              <w:jc w:val="center"/>
            </w:pPr>
            <w:r>
              <w:t>s.d</w:t>
            </w:r>
          </w:p>
        </w:tc>
      </w:tr>
      <w:tr w:rsidR="00D13B6F" w14:paraId="34855D48" w14:textId="77777777" w:rsidTr="0011753D">
        <w:trPr>
          <w:trHeight w:val="360"/>
        </w:trPr>
        <w:tc>
          <w:tcPr>
            <w:tcW w:w="3564" w:type="dxa"/>
            <w:tcBorders>
              <w:right w:val="single" w:sz="12" w:space="0" w:color="auto"/>
            </w:tcBorders>
            <w:vAlign w:val="center"/>
          </w:tcPr>
          <w:p w14:paraId="129AA18A" w14:textId="3D9A3DAC" w:rsidR="00D13B6F" w:rsidRDefault="00D13B6F" w:rsidP="0011753D">
            <w:pPr>
              <w:spacing w:after="0"/>
              <w:jc w:val="center"/>
            </w:pPr>
            <w:r>
              <w:t>move</w:t>
            </w:r>
          </w:p>
        </w:tc>
        <w:tc>
          <w:tcPr>
            <w:tcW w:w="3672" w:type="dxa"/>
            <w:tcBorders>
              <w:left w:val="single" w:sz="12" w:space="0" w:color="auto"/>
              <w:right w:val="single" w:sz="12" w:space="0" w:color="auto"/>
            </w:tcBorders>
            <w:vAlign w:val="center"/>
          </w:tcPr>
          <w:p w14:paraId="5133E008" w14:textId="50818918" w:rsidR="00D13B6F" w:rsidRDefault="00D13B6F" w:rsidP="0011753D">
            <w:pPr>
              <w:spacing w:after="0"/>
              <w:jc w:val="center"/>
            </w:pPr>
            <w:r>
              <w:t>mov.s</w:t>
            </w:r>
          </w:p>
        </w:tc>
        <w:tc>
          <w:tcPr>
            <w:tcW w:w="3564" w:type="dxa"/>
            <w:tcBorders>
              <w:left w:val="single" w:sz="12" w:space="0" w:color="auto"/>
            </w:tcBorders>
            <w:vAlign w:val="center"/>
          </w:tcPr>
          <w:p w14:paraId="4E2675E3" w14:textId="4A78E0C9" w:rsidR="00D13B6F" w:rsidRDefault="00D13B6F" w:rsidP="0011753D">
            <w:pPr>
              <w:spacing w:after="0"/>
              <w:jc w:val="center"/>
            </w:pPr>
            <w:r>
              <w:t>mov.d</w:t>
            </w:r>
          </w:p>
        </w:tc>
      </w:tr>
      <w:tr w:rsidR="00D13B6F" w14:paraId="056BF392" w14:textId="77777777" w:rsidTr="0011753D">
        <w:trPr>
          <w:trHeight w:val="360"/>
        </w:trPr>
        <w:tc>
          <w:tcPr>
            <w:tcW w:w="3564" w:type="dxa"/>
            <w:tcBorders>
              <w:right w:val="single" w:sz="12" w:space="0" w:color="auto"/>
            </w:tcBorders>
            <w:vAlign w:val="center"/>
          </w:tcPr>
          <w:p w14:paraId="1E667510" w14:textId="08C59356" w:rsidR="00D13B6F" w:rsidRDefault="00D13B6F" w:rsidP="0011753D">
            <w:pPr>
              <w:spacing w:after="0"/>
              <w:jc w:val="center"/>
            </w:pPr>
            <w:r>
              <w:t>N/A</w:t>
            </w:r>
          </w:p>
        </w:tc>
        <w:tc>
          <w:tcPr>
            <w:tcW w:w="3672" w:type="dxa"/>
            <w:tcBorders>
              <w:left w:val="single" w:sz="12" w:space="0" w:color="auto"/>
              <w:right w:val="single" w:sz="12" w:space="0" w:color="auto"/>
            </w:tcBorders>
            <w:vAlign w:val="center"/>
          </w:tcPr>
          <w:p w14:paraId="5BA59724" w14:textId="2D49CEFF" w:rsidR="00D13B6F" w:rsidRDefault="00D13B6F" w:rsidP="0011753D">
            <w:pPr>
              <w:spacing w:after="0"/>
              <w:jc w:val="center"/>
            </w:pPr>
            <w:r>
              <w:t>mfc1</w:t>
            </w:r>
          </w:p>
        </w:tc>
        <w:tc>
          <w:tcPr>
            <w:tcW w:w="3564" w:type="dxa"/>
            <w:tcBorders>
              <w:left w:val="single" w:sz="12" w:space="0" w:color="auto"/>
            </w:tcBorders>
            <w:vAlign w:val="center"/>
          </w:tcPr>
          <w:p w14:paraId="7AA41FFC" w14:textId="628BD73A" w:rsidR="00D13B6F" w:rsidRDefault="00D13B6F" w:rsidP="0011753D">
            <w:pPr>
              <w:spacing w:after="0"/>
              <w:jc w:val="center"/>
            </w:pPr>
            <w:r>
              <w:t>mfc1.d</w:t>
            </w:r>
          </w:p>
        </w:tc>
      </w:tr>
      <w:tr w:rsidR="00D13B6F" w14:paraId="23CE0A91" w14:textId="77777777" w:rsidTr="0011753D">
        <w:trPr>
          <w:trHeight w:val="360"/>
        </w:trPr>
        <w:tc>
          <w:tcPr>
            <w:tcW w:w="3564" w:type="dxa"/>
            <w:tcBorders>
              <w:right w:val="single" w:sz="12" w:space="0" w:color="auto"/>
            </w:tcBorders>
            <w:vAlign w:val="center"/>
          </w:tcPr>
          <w:p w14:paraId="6703A340" w14:textId="5ECCE852" w:rsidR="00D13B6F" w:rsidRDefault="00196157" w:rsidP="0011753D">
            <w:pPr>
              <w:spacing w:after="0"/>
              <w:jc w:val="center"/>
            </w:pPr>
            <w:r>
              <w:t>N/A</w:t>
            </w:r>
          </w:p>
        </w:tc>
        <w:tc>
          <w:tcPr>
            <w:tcW w:w="3672" w:type="dxa"/>
            <w:tcBorders>
              <w:left w:val="single" w:sz="12" w:space="0" w:color="auto"/>
              <w:right w:val="single" w:sz="12" w:space="0" w:color="auto"/>
            </w:tcBorders>
            <w:vAlign w:val="center"/>
          </w:tcPr>
          <w:p w14:paraId="119AC338" w14:textId="2C9F8EF6" w:rsidR="00D13B6F" w:rsidRDefault="00196157" w:rsidP="0011753D">
            <w:pPr>
              <w:spacing w:after="0"/>
              <w:jc w:val="center"/>
            </w:pPr>
            <w:r>
              <w:t>mtc1 **</w:t>
            </w:r>
          </w:p>
        </w:tc>
        <w:tc>
          <w:tcPr>
            <w:tcW w:w="3564" w:type="dxa"/>
            <w:tcBorders>
              <w:left w:val="single" w:sz="12" w:space="0" w:color="auto"/>
            </w:tcBorders>
            <w:vAlign w:val="center"/>
          </w:tcPr>
          <w:p w14:paraId="793FE8AC" w14:textId="5169B2EC" w:rsidR="00D13B6F" w:rsidRDefault="00196157" w:rsidP="0011753D">
            <w:pPr>
              <w:spacing w:after="0"/>
              <w:jc w:val="center"/>
            </w:pPr>
            <w:r>
              <w:t>mtc1.d **</w:t>
            </w:r>
          </w:p>
        </w:tc>
      </w:tr>
    </w:tbl>
    <w:p w14:paraId="0800E75F" w14:textId="7977846B" w:rsidR="00827175" w:rsidRDefault="00827175" w:rsidP="00E06B69">
      <w:pPr>
        <w:spacing w:line="240" w:lineRule="auto"/>
      </w:pPr>
    </w:p>
    <w:p w14:paraId="791FFAAC" w14:textId="77777777" w:rsidR="004840E9" w:rsidRDefault="004840E9" w:rsidP="00E06B69">
      <w:pPr>
        <w:spacing w:line="240" w:lineRule="auto"/>
      </w:pPr>
    </w:p>
    <w:p w14:paraId="29D32380" w14:textId="612EDD12" w:rsidR="00F85BF8" w:rsidRPr="00F85BF8" w:rsidRDefault="00F85BF8" w:rsidP="00F85BF8">
      <w:pPr>
        <w:widowControl w:val="0"/>
        <w:spacing w:line="240" w:lineRule="auto"/>
        <w:rPr>
          <w:b/>
        </w:rPr>
      </w:pPr>
      <w:r>
        <w:rPr>
          <w:b/>
        </w:rPr>
        <w:t>Instructions to Convert Data</w:t>
      </w:r>
    </w:p>
    <w:p w14:paraId="599C2C14" w14:textId="155EB70D" w:rsidR="00237780" w:rsidRDefault="00237780" w:rsidP="00B24E57">
      <w:pPr>
        <w:spacing w:line="240" w:lineRule="auto"/>
      </w:pPr>
      <w:r>
        <w:t xml:space="preserve">Populating </w:t>
      </w:r>
      <w:r w:rsidRPr="00735900">
        <w:rPr>
          <w:b/>
        </w:rPr>
        <w:t>$fX</w:t>
      </w:r>
      <w:r>
        <w:t xml:space="preserve"> registers can be done using the </w:t>
      </w:r>
      <w:r w:rsidRPr="000D7911">
        <w:rPr>
          <w:i/>
        </w:rPr>
        <w:t>l.s</w:t>
      </w:r>
      <w:r>
        <w:t>/</w:t>
      </w:r>
      <w:r w:rsidRPr="000D7911">
        <w:rPr>
          <w:i/>
        </w:rPr>
        <w:t>l.d</w:t>
      </w:r>
      <w:r>
        <w:t xml:space="preserve"> </w:t>
      </w:r>
      <w:r w:rsidR="00735900">
        <w:t xml:space="preserve">instruction as shown earlier.  </w:t>
      </w:r>
      <w:r w:rsidR="002C1E99">
        <w:t>With t</w:t>
      </w:r>
      <w:r w:rsidR="00081C3C">
        <w:t xml:space="preserve">he </w:t>
      </w:r>
      <w:r w:rsidR="00081C3C" w:rsidRPr="000D7911">
        <w:rPr>
          <w:i/>
        </w:rPr>
        <w:t>l.s</w:t>
      </w:r>
      <w:r w:rsidR="00081C3C">
        <w:t>/</w:t>
      </w:r>
      <w:r w:rsidR="00081C3C" w:rsidRPr="000D7911">
        <w:rPr>
          <w:i/>
        </w:rPr>
        <w:t>l.d</w:t>
      </w:r>
      <w:r w:rsidR="00081C3C">
        <w:t xml:space="preserve"> instruction</w:t>
      </w:r>
      <w:r w:rsidR="00834B1D">
        <w:t xml:space="preserve"> </w:t>
      </w:r>
      <w:r w:rsidR="00834B1D" w:rsidRPr="007D0149">
        <w:rPr>
          <w:b/>
        </w:rPr>
        <w:t>$fX</w:t>
      </w:r>
      <w:r w:rsidR="00834B1D">
        <w:t xml:space="preserve"> registers can be loaded with values that are stored in memory.</w:t>
      </w:r>
      <w:r w:rsidR="0008606C">
        <w:t xml:space="preserve">  </w:t>
      </w:r>
      <w:r w:rsidR="00204CB5">
        <w:t xml:space="preserve">Another </w:t>
      </w:r>
      <w:r w:rsidR="00AF45A2">
        <w:t>method to get floating-point values into</w:t>
      </w:r>
      <w:r w:rsidR="009743BE">
        <w:t xml:space="preserve"> an</w:t>
      </w:r>
      <w:r w:rsidR="00AF45A2">
        <w:t xml:space="preserve"> </w:t>
      </w:r>
      <w:r w:rsidR="00AF45A2" w:rsidRPr="003E205F">
        <w:rPr>
          <w:b/>
        </w:rPr>
        <w:t>$fX</w:t>
      </w:r>
      <w:r w:rsidR="00021A40">
        <w:t xml:space="preserve"> register</w:t>
      </w:r>
      <w:r w:rsidR="00AF45A2">
        <w:t xml:space="preserve"> is to first move </w:t>
      </w:r>
      <w:r w:rsidR="001D51E6">
        <w:t xml:space="preserve">an integer </w:t>
      </w:r>
      <w:r w:rsidR="000F2FD9">
        <w:t xml:space="preserve">into the </w:t>
      </w:r>
      <w:r w:rsidR="00C51AFA">
        <w:t>floating-point coprocessor</w:t>
      </w:r>
      <w:r w:rsidR="00BC231C">
        <w:t xml:space="preserve"> using the </w:t>
      </w:r>
      <w:r w:rsidR="00BC231C" w:rsidRPr="00BC231C">
        <w:rPr>
          <w:i/>
        </w:rPr>
        <w:t>mtc1</w:t>
      </w:r>
      <w:r w:rsidR="00BC231C">
        <w:t>/</w:t>
      </w:r>
      <w:r w:rsidR="00BC231C" w:rsidRPr="00BC231C">
        <w:rPr>
          <w:i/>
        </w:rPr>
        <w:t>mtc1.d</w:t>
      </w:r>
      <w:r w:rsidR="00BC231C">
        <w:t xml:space="preserve"> instruction</w:t>
      </w:r>
      <w:r w:rsidR="004E346E">
        <w:t xml:space="preserve"> and then convert </w:t>
      </w:r>
      <w:r w:rsidR="00134208">
        <w:t>that</w:t>
      </w:r>
      <w:r w:rsidR="004E346E">
        <w:t xml:space="preserve"> integer into either a single-precision or double-p</w:t>
      </w:r>
      <w:r w:rsidR="003155EB">
        <w:t xml:space="preserve">recision </w:t>
      </w:r>
      <w:r w:rsidR="00953884">
        <w:t>floating-point number usi</w:t>
      </w:r>
      <w:r w:rsidR="0038408E">
        <w:t xml:space="preserve">ng special family of </w:t>
      </w:r>
      <w:r w:rsidR="00352E0A">
        <w:t>conversion instructions.</w:t>
      </w:r>
      <w:r w:rsidR="008E2051">
        <w:t xml:space="preserve">  </w:t>
      </w:r>
      <w:r w:rsidR="00F561A9">
        <w:t xml:space="preserve">The family of conversion instructions </w:t>
      </w:r>
      <w:r w:rsidR="00AC5C78">
        <w:t xml:space="preserve">has the format </w:t>
      </w:r>
      <w:r w:rsidR="00AC5C78" w:rsidRPr="002554DB">
        <w:rPr>
          <w:i/>
        </w:rPr>
        <w:t>cvt.</w:t>
      </w:r>
      <w:r w:rsidR="00AC5C78">
        <w:rPr>
          <w:i/>
        </w:rPr>
        <w:t>X</w:t>
      </w:r>
      <w:r w:rsidR="00AC5C78" w:rsidRPr="002554DB">
        <w:rPr>
          <w:i/>
        </w:rPr>
        <w:t>.</w:t>
      </w:r>
      <w:r w:rsidR="00AC5C78">
        <w:rPr>
          <w:i/>
        </w:rPr>
        <w:t>Y</w:t>
      </w:r>
      <w:r w:rsidR="00AC5C78">
        <w:t xml:space="preserve"> </w:t>
      </w:r>
      <w:r w:rsidR="002D3987">
        <w:t xml:space="preserve">where a value is converted from format </w:t>
      </w:r>
      <w:r w:rsidR="00AC5C78">
        <w:rPr>
          <w:i/>
        </w:rPr>
        <w:t>Y</w:t>
      </w:r>
      <w:r w:rsidR="00AC5C78">
        <w:t xml:space="preserve"> to the new format </w:t>
      </w:r>
      <w:r w:rsidR="00AC5C78">
        <w:rPr>
          <w:i/>
        </w:rPr>
        <w:t>X</w:t>
      </w:r>
      <w:r w:rsidR="00AC5C78">
        <w:t>.</w:t>
      </w:r>
      <w:r w:rsidR="008C2532">
        <w:t xml:space="preserve">  The values for </w:t>
      </w:r>
      <w:r w:rsidR="008C2532">
        <w:rPr>
          <w:i/>
        </w:rPr>
        <w:t>X</w:t>
      </w:r>
      <w:r w:rsidR="008C2532">
        <w:t xml:space="preserve"> and </w:t>
      </w:r>
      <w:r w:rsidR="008C2532">
        <w:rPr>
          <w:i/>
        </w:rPr>
        <w:t>Y</w:t>
      </w:r>
      <w:r w:rsidR="008C2532">
        <w:t xml:space="preserve"> can be “</w:t>
      </w:r>
      <w:r w:rsidR="008C2532" w:rsidRPr="007F0509">
        <w:rPr>
          <w:i/>
        </w:rPr>
        <w:t>w</w:t>
      </w:r>
      <w:r w:rsidR="008C2532">
        <w:t>”, “</w:t>
      </w:r>
      <w:r w:rsidR="008C2532" w:rsidRPr="007F0509">
        <w:rPr>
          <w:i/>
        </w:rPr>
        <w:t>s</w:t>
      </w:r>
      <w:r w:rsidR="008C2532">
        <w:t>”, or “</w:t>
      </w:r>
      <w:r w:rsidR="008C2532" w:rsidRPr="007F0509">
        <w:rPr>
          <w:i/>
        </w:rPr>
        <w:t>d</w:t>
      </w:r>
      <w:r w:rsidR="008C2532">
        <w:t>” to specify conversion to/from 32-bit words, 32-bit single-precision floating-point values, or 64-bit double-precision floating-point values, respectively.</w:t>
      </w:r>
      <w:r w:rsidR="000F4A55">
        <w:t xml:space="preserve">  There are a total of six instructions in this conversion family: </w:t>
      </w:r>
      <w:r w:rsidR="000F4A55" w:rsidRPr="000F4A55">
        <w:rPr>
          <w:i/>
        </w:rPr>
        <w:t>cvt.w.s</w:t>
      </w:r>
      <w:r w:rsidR="000F4A55">
        <w:t xml:space="preserve"> / </w:t>
      </w:r>
      <w:r w:rsidR="000F4A55" w:rsidRPr="000F4A55">
        <w:rPr>
          <w:i/>
        </w:rPr>
        <w:t>c</w:t>
      </w:r>
      <w:r w:rsidR="00917274">
        <w:rPr>
          <w:i/>
        </w:rPr>
        <w:tab/>
      </w:r>
      <w:r w:rsidR="000F4A55" w:rsidRPr="000F4A55">
        <w:rPr>
          <w:i/>
        </w:rPr>
        <w:t>vt.w.d</w:t>
      </w:r>
      <w:r w:rsidR="000F4A55">
        <w:t xml:space="preserve"> / </w:t>
      </w:r>
      <w:r w:rsidR="000F4A55" w:rsidRPr="000F4A55">
        <w:rPr>
          <w:i/>
        </w:rPr>
        <w:t>cvt.s.w</w:t>
      </w:r>
      <w:r w:rsidR="000F4A55">
        <w:t xml:space="preserve"> / </w:t>
      </w:r>
      <w:r w:rsidR="000F4A55" w:rsidRPr="000F4A55">
        <w:rPr>
          <w:i/>
        </w:rPr>
        <w:t>cvt.s.d</w:t>
      </w:r>
      <w:r w:rsidR="000F4A55">
        <w:t xml:space="preserve"> / </w:t>
      </w:r>
      <w:r w:rsidR="000F4A55" w:rsidRPr="000F4A55">
        <w:rPr>
          <w:i/>
        </w:rPr>
        <w:t>cvt.d.w</w:t>
      </w:r>
      <w:r w:rsidR="000F4A55">
        <w:t xml:space="preserve"> / </w:t>
      </w:r>
      <w:r w:rsidR="000F4A55" w:rsidRPr="000F4A55">
        <w:rPr>
          <w:i/>
        </w:rPr>
        <w:t>cvt.d.s</w:t>
      </w:r>
      <w:r w:rsidR="000F4A55">
        <w:t>.</w:t>
      </w:r>
      <w:r w:rsidR="00505DA1">
        <w:t xml:space="preserve">  </w:t>
      </w:r>
      <w:r w:rsidR="00054762">
        <w:t xml:space="preserve">As an example, </w:t>
      </w:r>
      <w:r w:rsidR="006404C7">
        <w:t xml:space="preserve">assume </w:t>
      </w:r>
      <w:r w:rsidR="00FF1D37">
        <w:t xml:space="preserve">that you want to </w:t>
      </w:r>
      <w:r w:rsidR="00E63D9B">
        <w:t xml:space="preserve">populate the register </w:t>
      </w:r>
      <w:r w:rsidR="00E63D9B" w:rsidRPr="00F73663">
        <w:rPr>
          <w:b/>
        </w:rPr>
        <w:t>$f16</w:t>
      </w:r>
      <w:r w:rsidR="00E63D9B">
        <w:t xml:space="preserve"> </w:t>
      </w:r>
      <w:r w:rsidR="00A541D6">
        <w:t>with the double-precis</w:t>
      </w:r>
      <w:r w:rsidR="00630992">
        <w:t xml:space="preserve">ion floating-point value 25.0.  </w:t>
      </w:r>
      <w:r w:rsidR="009646C4">
        <w:t xml:space="preserve">You can </w:t>
      </w:r>
      <w:r w:rsidR="006265D9">
        <w:t>use the following sequence of instructions:</w:t>
      </w:r>
    </w:p>
    <w:p w14:paraId="768387E8" w14:textId="5698D025" w:rsidR="001357C3" w:rsidRPr="001357C3" w:rsidRDefault="00684446" w:rsidP="00B24E57">
      <w:pPr>
        <w:spacing w:line="240" w:lineRule="auto"/>
        <w:rPr>
          <w:b/>
        </w:rPr>
      </w:pPr>
      <w:r>
        <w:tab/>
      </w:r>
      <w:r w:rsidR="00C41406" w:rsidRPr="00177454">
        <w:rPr>
          <w:i/>
        </w:rPr>
        <w:t>li</w:t>
      </w:r>
      <w:r w:rsidR="00F64808" w:rsidRPr="00177454">
        <w:rPr>
          <w:i/>
        </w:rPr>
        <w:tab/>
        <w:t>$t0, 25</w:t>
      </w:r>
      <w:r w:rsidR="00F64808">
        <w:tab/>
      </w:r>
      <w:r w:rsidR="00F64808">
        <w:tab/>
      </w:r>
      <w:r w:rsidR="00A5101F">
        <w:t xml:space="preserve"># load </w:t>
      </w:r>
      <w:r w:rsidR="00A5101F" w:rsidRPr="00CB1E85">
        <w:rPr>
          <w:b/>
        </w:rPr>
        <w:t>$t0</w:t>
      </w:r>
      <w:r w:rsidR="00A5101F">
        <w:t xml:space="preserve"> with integer value 25 (this is NOT the double 25.0)</w:t>
      </w:r>
      <w:r w:rsidR="00B96991">
        <w:br/>
      </w:r>
      <w:r w:rsidR="004F0645">
        <w:tab/>
      </w:r>
      <w:r w:rsidR="00F64808" w:rsidRPr="00177454">
        <w:rPr>
          <w:i/>
        </w:rPr>
        <w:t>mtc1.d</w:t>
      </w:r>
      <w:r w:rsidR="00F64808" w:rsidRPr="00177454">
        <w:rPr>
          <w:i/>
        </w:rPr>
        <w:tab/>
        <w:t>$t0, $f16</w:t>
      </w:r>
      <w:r w:rsidR="00F64808">
        <w:tab/>
      </w:r>
      <w:r w:rsidR="00406126">
        <w:t xml:space="preserve"># </w:t>
      </w:r>
      <w:r w:rsidR="00DC4AE2">
        <w:t xml:space="preserve">move </w:t>
      </w:r>
      <w:r w:rsidR="00DC4AE2" w:rsidRPr="00CB1E85">
        <w:rPr>
          <w:b/>
        </w:rPr>
        <w:t>$t1</w:t>
      </w:r>
      <w:r w:rsidR="00DC4AE2">
        <w:t>+</w:t>
      </w:r>
      <w:r w:rsidR="00DC4AE2" w:rsidRPr="00CB1E85">
        <w:rPr>
          <w:b/>
        </w:rPr>
        <w:t>$t0</w:t>
      </w:r>
      <w:r w:rsidR="00DC4AE2">
        <w:t xml:space="preserve"> into </w:t>
      </w:r>
      <w:r w:rsidR="00DC4AE2" w:rsidRPr="00CB1E85">
        <w:rPr>
          <w:b/>
        </w:rPr>
        <w:t>$f17</w:t>
      </w:r>
      <w:r w:rsidR="00DC4AE2">
        <w:t>+</w:t>
      </w:r>
      <w:r w:rsidR="00DC4AE2" w:rsidRPr="00FB54D1">
        <w:rPr>
          <w:b/>
        </w:rPr>
        <w:t>$f16</w:t>
      </w:r>
      <w:r w:rsidR="00F5092F" w:rsidRPr="00F5092F">
        <w:t xml:space="preserve"> (note the source operand is first)</w:t>
      </w:r>
      <w:r w:rsidR="00695B17">
        <w:br/>
      </w:r>
      <w:r w:rsidR="00695B17">
        <w:tab/>
      </w:r>
      <w:r w:rsidR="00EE1034" w:rsidRPr="00177454">
        <w:rPr>
          <w:i/>
        </w:rPr>
        <w:t>cvt.d.w</w:t>
      </w:r>
      <w:r w:rsidR="00EE1034" w:rsidRPr="00177454">
        <w:rPr>
          <w:i/>
        </w:rPr>
        <w:tab/>
        <w:t>$f16, $f16</w:t>
      </w:r>
      <w:r w:rsidR="00EE1034">
        <w:tab/>
        <w:t xml:space="preserve"># convert contents of </w:t>
      </w:r>
      <w:r w:rsidR="00EE1034" w:rsidRPr="00CB1E85">
        <w:rPr>
          <w:b/>
        </w:rPr>
        <w:t>$f17</w:t>
      </w:r>
      <w:r w:rsidR="00EE1034">
        <w:t>+</w:t>
      </w:r>
      <w:r w:rsidR="00EE1034" w:rsidRPr="00FB54D1">
        <w:rPr>
          <w:b/>
        </w:rPr>
        <w:t>$f16</w:t>
      </w:r>
      <w:r w:rsidR="00EE1034">
        <w:t xml:space="preserve"> into a double and store back into </w:t>
      </w:r>
      <w:r w:rsidR="001F7938" w:rsidRPr="00CB1E85">
        <w:rPr>
          <w:b/>
        </w:rPr>
        <w:t>$f17</w:t>
      </w:r>
      <w:r w:rsidR="001F7938">
        <w:t>+</w:t>
      </w:r>
      <w:r w:rsidR="001F7938" w:rsidRPr="00FB54D1">
        <w:rPr>
          <w:b/>
        </w:rPr>
        <w:t>$f16</w:t>
      </w:r>
    </w:p>
    <w:p w14:paraId="0233F1B8" w14:textId="77777777" w:rsidR="00C0759B" w:rsidRDefault="0005165A" w:rsidP="001C09F5">
      <w:pPr>
        <w:spacing w:line="240" w:lineRule="auto"/>
      </w:pPr>
      <w:r>
        <w:t xml:space="preserve">After the </w:t>
      </w:r>
      <w:r w:rsidRPr="0005165A">
        <w:rPr>
          <w:i/>
        </w:rPr>
        <w:t>cvt.d.w</w:t>
      </w:r>
      <w:r>
        <w:t xml:space="preserve"> instruction, registers </w:t>
      </w:r>
      <w:r w:rsidRPr="00261F17">
        <w:rPr>
          <w:b/>
        </w:rPr>
        <w:t>$f17+$f16</w:t>
      </w:r>
      <w:r>
        <w:t xml:space="preserve"> will contain the double-precision floating-point value 25.0.</w:t>
      </w:r>
      <w:r w:rsidR="0031538D">
        <w:t xml:space="preserve">  </w:t>
      </w:r>
    </w:p>
    <w:p w14:paraId="5501EBE7" w14:textId="77777777" w:rsidR="00C0759B" w:rsidRDefault="00C0759B" w:rsidP="001C09F5">
      <w:pPr>
        <w:spacing w:line="240" w:lineRule="auto"/>
      </w:pPr>
    </w:p>
    <w:p w14:paraId="09CA989D" w14:textId="1DCCCDDA" w:rsidR="00466396" w:rsidRDefault="0031538D" w:rsidP="001C09F5">
      <w:pPr>
        <w:spacing w:line="240" w:lineRule="auto"/>
      </w:pPr>
      <w:r>
        <w:t>Here are some additional examples:</w:t>
      </w:r>
    </w:p>
    <w:p w14:paraId="765D0792" w14:textId="77777777" w:rsidR="00D26463" w:rsidRDefault="00466396" w:rsidP="001C09F5">
      <w:pPr>
        <w:spacing w:line="240" w:lineRule="auto"/>
        <w:rPr>
          <w:b/>
        </w:rPr>
      </w:pPr>
      <w:r>
        <w:tab/>
      </w:r>
      <w:r w:rsidRPr="00177454">
        <w:rPr>
          <w:i/>
        </w:rPr>
        <w:t>cvt.d.</w:t>
      </w:r>
      <w:r>
        <w:rPr>
          <w:i/>
        </w:rPr>
        <w:t>s</w:t>
      </w:r>
      <w:r w:rsidR="00E10EC8">
        <w:rPr>
          <w:i/>
        </w:rPr>
        <w:tab/>
        <w:t>$f</w:t>
      </w:r>
      <w:r>
        <w:rPr>
          <w:i/>
        </w:rPr>
        <w:t>0</w:t>
      </w:r>
      <w:r w:rsidRPr="00177454">
        <w:rPr>
          <w:i/>
        </w:rPr>
        <w:t>, $f1</w:t>
      </w:r>
      <w:r w:rsidR="00AA0991">
        <w:rPr>
          <w:i/>
        </w:rPr>
        <w:tab/>
      </w:r>
      <w:r>
        <w:tab/>
        <w:t xml:space="preserve"># convert </w:t>
      </w:r>
      <w:r w:rsidR="00AC0D49">
        <w:t>single-precision</w:t>
      </w:r>
      <w:r>
        <w:t xml:space="preserve"> </w:t>
      </w:r>
      <w:r w:rsidR="00AC0D49">
        <w:t>value in</w:t>
      </w:r>
      <w:r w:rsidR="00D65847">
        <w:t xml:space="preserve"> register</w:t>
      </w:r>
      <w:r w:rsidR="00AC0D49">
        <w:t xml:space="preserve"> </w:t>
      </w:r>
      <w:r w:rsidRPr="00CB1E85">
        <w:rPr>
          <w:b/>
        </w:rPr>
        <w:t>$f1</w:t>
      </w:r>
      <w:r>
        <w:t xml:space="preserve"> into a double and store in </w:t>
      </w:r>
      <w:r w:rsidRPr="00CB1E85">
        <w:rPr>
          <w:b/>
        </w:rPr>
        <w:t>$f1</w:t>
      </w:r>
      <w:r>
        <w:t>+</w:t>
      </w:r>
      <w:r w:rsidRPr="00FB54D1">
        <w:rPr>
          <w:b/>
        </w:rPr>
        <w:t>$f</w:t>
      </w:r>
      <w:r w:rsidR="00311DDA">
        <w:rPr>
          <w:b/>
        </w:rPr>
        <w:t>0</w:t>
      </w:r>
      <w:r w:rsidRPr="001357C3">
        <w:br/>
      </w:r>
      <w:r w:rsidRPr="00503618">
        <w:tab/>
      </w:r>
      <w:r w:rsidRPr="00503618">
        <w:tab/>
      </w:r>
      <w:r w:rsidRPr="00503618">
        <w:tab/>
      </w:r>
      <w:r w:rsidRPr="00503618">
        <w:tab/>
        <w:t xml:space="preserve"># </w:t>
      </w:r>
      <w:r w:rsidR="00503618" w:rsidRPr="00503618">
        <w:t>Note that this WILL overwrite the original single-precision value in</w:t>
      </w:r>
      <w:r w:rsidR="00CB572F">
        <w:t xml:space="preserve"> register</w:t>
      </w:r>
      <w:r w:rsidR="00503618" w:rsidRPr="00503618">
        <w:t xml:space="preserve"> </w:t>
      </w:r>
      <w:r w:rsidR="00503618" w:rsidRPr="00F101B1">
        <w:rPr>
          <w:b/>
        </w:rPr>
        <w:t>$f1</w:t>
      </w:r>
    </w:p>
    <w:p w14:paraId="39FB62F4" w14:textId="6C052B29" w:rsidR="00B13BF6" w:rsidRDefault="00D26463" w:rsidP="001C09F5">
      <w:pPr>
        <w:spacing w:line="240" w:lineRule="auto"/>
        <w:rPr>
          <w:b/>
        </w:rPr>
      </w:pPr>
      <w:r>
        <w:tab/>
      </w:r>
      <w:r w:rsidRPr="00177454">
        <w:rPr>
          <w:i/>
        </w:rPr>
        <w:t>cvt.</w:t>
      </w:r>
      <w:r w:rsidR="00416D40">
        <w:rPr>
          <w:i/>
        </w:rPr>
        <w:t>w</w:t>
      </w:r>
      <w:r w:rsidRPr="00177454">
        <w:rPr>
          <w:i/>
        </w:rPr>
        <w:t>.</w:t>
      </w:r>
      <w:r>
        <w:rPr>
          <w:i/>
        </w:rPr>
        <w:t>s</w:t>
      </w:r>
      <w:r>
        <w:rPr>
          <w:i/>
        </w:rPr>
        <w:tab/>
        <w:t>$f0</w:t>
      </w:r>
      <w:r w:rsidRPr="00177454">
        <w:rPr>
          <w:i/>
        </w:rPr>
        <w:t>, $f1</w:t>
      </w:r>
      <w:r>
        <w:rPr>
          <w:i/>
        </w:rPr>
        <w:tab/>
      </w:r>
      <w:r>
        <w:tab/>
        <w:t xml:space="preserve"># convert single-precision value in register </w:t>
      </w:r>
      <w:r w:rsidRPr="00CB1E85">
        <w:rPr>
          <w:b/>
        </w:rPr>
        <w:t>$f1</w:t>
      </w:r>
      <w:r>
        <w:t xml:space="preserve"> into a</w:t>
      </w:r>
      <w:r w:rsidR="0042586D">
        <w:t xml:space="preserve"> 32-bit integer</w:t>
      </w:r>
      <w:r>
        <w:t xml:space="preserve"> and store in </w:t>
      </w:r>
      <w:r w:rsidRPr="00FB54D1">
        <w:rPr>
          <w:b/>
        </w:rPr>
        <w:t>$f</w:t>
      </w:r>
      <w:r>
        <w:rPr>
          <w:b/>
        </w:rPr>
        <w:t>0</w:t>
      </w:r>
      <w:r w:rsidR="00951731">
        <w:br/>
      </w:r>
    </w:p>
    <w:p w14:paraId="1D55BFE7" w14:textId="0AA96805" w:rsidR="00EA067C" w:rsidRDefault="00EA067C" w:rsidP="001C09F5">
      <w:pPr>
        <w:spacing w:line="240" w:lineRule="auto"/>
        <w:rPr>
          <w:b/>
        </w:rPr>
      </w:pPr>
    </w:p>
    <w:p w14:paraId="20083E4B" w14:textId="774A78BE" w:rsidR="001D7B86" w:rsidRDefault="001D7B86" w:rsidP="001C09F5">
      <w:pPr>
        <w:spacing w:line="240" w:lineRule="auto"/>
        <w:rPr>
          <w:b/>
        </w:rPr>
      </w:pPr>
    </w:p>
    <w:p w14:paraId="7F070562" w14:textId="4B668440" w:rsidR="001D7B86" w:rsidRDefault="001D7B86" w:rsidP="001C09F5">
      <w:pPr>
        <w:spacing w:line="240" w:lineRule="auto"/>
        <w:rPr>
          <w:b/>
        </w:rPr>
      </w:pPr>
    </w:p>
    <w:p w14:paraId="36EC6AA2" w14:textId="26C3AB76" w:rsidR="001D7B86" w:rsidRDefault="001D7B86" w:rsidP="001C09F5">
      <w:pPr>
        <w:spacing w:line="240" w:lineRule="auto"/>
        <w:rPr>
          <w:b/>
        </w:rPr>
      </w:pPr>
    </w:p>
    <w:p w14:paraId="3B9582D8" w14:textId="71C95C0D" w:rsidR="001D7B86" w:rsidRDefault="001D7B86" w:rsidP="001C09F5">
      <w:pPr>
        <w:spacing w:line="240" w:lineRule="auto"/>
        <w:rPr>
          <w:b/>
        </w:rPr>
      </w:pPr>
    </w:p>
    <w:p w14:paraId="7461741C" w14:textId="1E92BA33" w:rsidR="00F33D0B" w:rsidRDefault="00F33D0B" w:rsidP="001C09F5">
      <w:pPr>
        <w:spacing w:line="240" w:lineRule="auto"/>
        <w:rPr>
          <w:b/>
        </w:rPr>
      </w:pPr>
      <w:r w:rsidRPr="00F33D0B">
        <w:rPr>
          <w:b/>
        </w:rPr>
        <w:lastRenderedPageBreak/>
        <w:t>3. Procedure</w:t>
      </w:r>
    </w:p>
    <w:p w14:paraId="3AF3600F" w14:textId="7E88D272" w:rsidR="008621BE" w:rsidRPr="001C09F5" w:rsidRDefault="00CC46C1" w:rsidP="001C09F5">
      <w:pPr>
        <w:spacing w:line="240" w:lineRule="auto"/>
        <w:rPr>
          <w:b/>
        </w:rPr>
      </w:pPr>
      <w:r w:rsidRPr="00CC46C1">
        <w:rPr>
          <w:b/>
        </w:rPr>
        <w:t xml:space="preserve">3.1 Calculating a Square </w:t>
      </w:r>
      <w:r w:rsidRPr="001C09F5">
        <w:rPr>
          <w:b/>
        </w:rPr>
        <w:t>Root via Newton’s Method</w:t>
      </w:r>
    </w:p>
    <w:p w14:paraId="7B8DDA42" w14:textId="59D35D7E" w:rsidR="001C09F5" w:rsidRDefault="00000494" w:rsidP="003A2FAB">
      <w:pPr>
        <w:spacing w:after="200" w:line="240" w:lineRule="auto"/>
        <w:rPr>
          <w:rFonts w:eastAsiaTheme="minorEastAsia"/>
        </w:rPr>
      </w:pPr>
      <w:hyperlink r:id="rId8" w:history="1">
        <w:r w:rsidR="001C09F5" w:rsidRPr="001C09F5">
          <w:rPr>
            <w:rStyle w:val="Hyperlink"/>
          </w:rPr>
          <w:t>Newton’s Method</w:t>
        </w:r>
      </w:hyperlink>
      <w:r w:rsidR="00D02CA2">
        <w:t xml:space="preserve"> is a method </w:t>
      </w:r>
      <w:r w:rsidR="001C09F5" w:rsidRPr="00974BBD">
        <w:t xml:space="preserve">for </w:t>
      </w:r>
      <w:r w:rsidR="00D02CA2">
        <w:t>approximating</w:t>
      </w:r>
      <w:r w:rsidR="001C09F5" w:rsidRPr="00974BBD">
        <w:t xml:space="preserve"> the roots of </w:t>
      </w:r>
      <w:r w:rsidR="009D0DB8">
        <w:t xml:space="preserve">mathematical </w:t>
      </w:r>
      <w:r w:rsidR="001C09F5" w:rsidRPr="00974BBD">
        <w:t>function</w:t>
      </w:r>
      <w:r w:rsidR="009D0DB8">
        <w:t>s</w:t>
      </w:r>
      <w:r w:rsidR="001C09F5" w:rsidRPr="00974BBD">
        <w:t xml:space="preserve">. </w:t>
      </w:r>
      <w:r w:rsidR="009D0DB8">
        <w:t xml:space="preserve"> </w:t>
      </w:r>
      <w:r w:rsidR="001C09F5" w:rsidRPr="00974BBD">
        <w:t xml:space="preserve">In general, if </w:t>
      </w:r>
      <w:r w:rsidR="00F5616E">
        <w:rPr>
          <w:i/>
        </w:rPr>
        <w:t>x</w:t>
      </w:r>
      <w:r w:rsidR="001C09F5" w:rsidRPr="00974BBD">
        <w:t xml:space="preserve"> is a root of a function </w:t>
      </w:r>
      <w:r w:rsidR="001C09F5" w:rsidRPr="00D42BAB">
        <w:rPr>
          <w:i/>
        </w:rPr>
        <w:t>f(x)</w:t>
      </w:r>
      <w:r w:rsidR="001C09F5" w:rsidRPr="00974BBD">
        <w:t>, repeated application of the function:</w:t>
      </w:r>
      <w:r w:rsidR="00023ED6">
        <w:t xml:space="preserve"> </w:t>
      </w:r>
      <w:r w:rsidR="001C09F5" w:rsidRPr="00974BBD">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num>
          <m:den>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den>
        </m:f>
      </m:oMath>
      <w:r w:rsidR="001C09F5" w:rsidRPr="001C09F5">
        <w:rPr>
          <w:rFonts w:eastAsiaTheme="minorEastAsia"/>
          <w:sz w:val="28"/>
          <w:szCs w:val="28"/>
        </w:rPr>
        <w:t xml:space="preserve"> </w:t>
      </w:r>
      <w:r w:rsidR="000C3F00">
        <w:rPr>
          <w:rFonts w:eastAsiaTheme="minorEastAsia"/>
        </w:rPr>
        <w:t xml:space="preserve">can </w:t>
      </w:r>
      <w:r w:rsidR="00AB6557">
        <w:rPr>
          <w:rFonts w:eastAsiaTheme="minorEastAsia"/>
        </w:rPr>
        <w:t>find</w:t>
      </w:r>
      <w:r w:rsidR="001C09F5" w:rsidRPr="001C09F5">
        <w:rPr>
          <w:rFonts w:eastAsiaTheme="minorEastAsia"/>
        </w:rPr>
        <w:t xml:space="preserve"> </w:t>
      </w:r>
      <w:r w:rsidR="00AB6557">
        <w:rPr>
          <w:rFonts w:eastAsiaTheme="minorEastAsia"/>
        </w:rPr>
        <w:t xml:space="preserve">a </w:t>
      </w:r>
      <w:r w:rsidR="001C09F5" w:rsidRPr="001C09F5">
        <w:rPr>
          <w:rFonts w:eastAsiaTheme="minorEastAsia"/>
        </w:rPr>
        <w:t xml:space="preserve">suitable value of </w:t>
      </w:r>
      <w:r w:rsidR="00FE279F" w:rsidRPr="00CD404B">
        <w:rPr>
          <w:rFonts w:eastAsiaTheme="minorEastAsia"/>
          <w:i/>
        </w:rPr>
        <w:t>x</w:t>
      </w:r>
      <w:r w:rsidR="001C09F5" w:rsidRPr="001C09F5">
        <w:rPr>
          <w:rFonts w:eastAsiaTheme="minorEastAsia"/>
        </w:rPr>
        <w:t xml:space="preserve"> </w:t>
      </w:r>
      <w:r w:rsidR="00EF6AD0">
        <w:rPr>
          <w:rFonts w:eastAsiaTheme="minorEastAsia"/>
        </w:rPr>
        <w:t xml:space="preserve">at some </w:t>
      </w:r>
      <w:r w:rsidR="001C09F5" w:rsidRPr="001C09F5">
        <w:rPr>
          <w:rFonts w:eastAsiaTheme="minorEastAsia"/>
        </w:rPr>
        <w:t xml:space="preserve">desired level of </w:t>
      </w:r>
      <w:r w:rsidR="007A7DC6">
        <w:rPr>
          <w:rFonts w:eastAsiaTheme="minorEastAsia"/>
        </w:rPr>
        <w:t>precision</w:t>
      </w:r>
      <w:r w:rsidR="001C09F5" w:rsidRPr="001C09F5">
        <w:rPr>
          <w:rFonts w:eastAsiaTheme="minorEastAsia"/>
        </w:rPr>
        <w:t>.</w:t>
      </w:r>
      <w:r w:rsidR="00023ED6">
        <w:rPr>
          <w:rFonts w:eastAsiaTheme="minorEastAsia"/>
        </w:rPr>
        <w:t xml:space="preserve"> </w:t>
      </w:r>
      <w:r w:rsidR="001C09F5" w:rsidRPr="001C09F5">
        <w:rPr>
          <w:rFonts w:eastAsiaTheme="minorEastAsia"/>
        </w:rPr>
        <w:t xml:space="preserve"> </w:t>
      </w:r>
      <w:r w:rsidR="003A2FAB">
        <w:rPr>
          <w:rFonts w:eastAsiaTheme="minorEastAsia"/>
        </w:rPr>
        <w:t>After each iteration, x</w:t>
      </w:r>
      <w:r w:rsidR="003A2FAB" w:rsidRPr="003A2FAB">
        <w:rPr>
          <w:rFonts w:eastAsiaTheme="minorEastAsia"/>
          <w:vertAlign w:val="subscript"/>
        </w:rPr>
        <w:t>n</w:t>
      </w:r>
      <w:r w:rsidR="003A2FAB">
        <w:rPr>
          <w:rFonts w:eastAsiaTheme="minorEastAsia"/>
        </w:rPr>
        <w:t xml:space="preserve"> is updated with the previous x</w:t>
      </w:r>
      <w:r w:rsidR="003A2FAB" w:rsidRPr="003A2FAB">
        <w:rPr>
          <w:rFonts w:eastAsiaTheme="minorEastAsia"/>
          <w:vertAlign w:val="subscript"/>
        </w:rPr>
        <w:t>n+1</w:t>
      </w:r>
      <w:r w:rsidR="003A2FAB">
        <w:rPr>
          <w:rFonts w:eastAsiaTheme="minorEastAsia"/>
        </w:rPr>
        <w:t xml:space="preserve"> and a new calculation is performed</w:t>
      </w:r>
      <w:r w:rsidR="001C09F5" w:rsidRPr="001C09F5">
        <w:rPr>
          <w:rFonts w:eastAsiaTheme="minorEastAsia"/>
        </w:rPr>
        <w:t xml:space="preserve">. </w:t>
      </w:r>
      <w:r w:rsidR="00976FC1">
        <w:rPr>
          <w:rFonts w:eastAsiaTheme="minorEastAsia"/>
        </w:rPr>
        <w:t xml:space="preserve"> </w:t>
      </w:r>
      <w:r w:rsidR="001C09F5" w:rsidRPr="001C09F5">
        <w:rPr>
          <w:rFonts w:eastAsiaTheme="minorEastAsia"/>
        </w:rPr>
        <w:t xml:space="preserve">The error in estimating </w:t>
      </w:r>
      <w:r w:rsidR="00906C52">
        <w:rPr>
          <w:rFonts w:eastAsiaTheme="minorEastAsia"/>
        </w:rPr>
        <w:t>x</w:t>
      </w:r>
      <w:r w:rsidR="001C09F5" w:rsidRPr="001C09F5">
        <w:rPr>
          <w:rFonts w:eastAsiaTheme="minorEastAsia"/>
        </w:rPr>
        <w:t xml:space="preserve"> is found by </w:t>
      </w:r>
      <m:oMath>
        <m:r>
          <w:rPr>
            <w:rFonts w:ascii="Cambria Math" w:eastAsiaTheme="minorEastAsia" w:hAnsi="Cambria Math"/>
            <w:sz w:val="24"/>
            <w:szCs w:val="24"/>
          </w:rPr>
          <m:t xml:space="preserve">error=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oMath>
      <w:r w:rsidR="001C09F5" w:rsidRPr="001C09F5">
        <w:rPr>
          <w:rFonts w:eastAsiaTheme="minorEastAsia"/>
        </w:rPr>
        <w:t>.</w:t>
      </w:r>
    </w:p>
    <w:p w14:paraId="39E7E259" w14:textId="0B894EE7" w:rsidR="00E02553" w:rsidRDefault="00B51A6D" w:rsidP="003A2FAB">
      <w:pPr>
        <w:spacing w:after="200" w:line="240" w:lineRule="auto"/>
        <w:rPr>
          <w:rFonts w:eastAsiaTheme="minorEastAsia"/>
        </w:rPr>
      </w:pPr>
      <w:r>
        <w:t>In this part, you will need to implement a MIPS assembly program that</w:t>
      </w:r>
      <w:r w:rsidR="002833EB">
        <w:t xml:space="preserve"> </w:t>
      </w:r>
      <w:r w:rsidR="0001018E">
        <w:t xml:space="preserve">uses Newton’s method to </w:t>
      </w:r>
      <w:r w:rsidR="00853187">
        <w:t xml:space="preserve">approximate the </w:t>
      </w:r>
      <w:r w:rsidR="006349AB">
        <w:t xml:space="preserve">square root of a value </w:t>
      </w:r>
      <w:r w:rsidR="006349AB" w:rsidRPr="003C7E3B">
        <w:rPr>
          <w:i/>
        </w:rPr>
        <w:t>N</w:t>
      </w:r>
      <w:r w:rsidR="006349AB">
        <w:t xml:space="preserve">.  </w:t>
      </w:r>
      <w:r w:rsidR="000267A5">
        <w:t xml:space="preserve">That is, you will need to </w:t>
      </w:r>
      <w:r w:rsidR="00D04F89">
        <w:t xml:space="preserve">approximate the value of </w:t>
      </w:r>
      <m:oMath>
        <m:rad>
          <m:radPr>
            <m:degHide m:val="1"/>
            <m:ctrlPr>
              <w:rPr>
                <w:rFonts w:ascii="Cambria Math" w:hAnsi="Cambria Math"/>
                <w:i/>
              </w:rPr>
            </m:ctrlPr>
          </m:radPr>
          <m:deg/>
          <m:e>
            <m:r>
              <w:rPr>
                <w:rFonts w:ascii="Cambria Math" w:hAnsi="Cambria Math"/>
              </w:rPr>
              <m:t>N</m:t>
            </m:r>
          </m:e>
        </m:rad>
      </m:oMath>
      <w:r w:rsidR="00D04F89">
        <w:rPr>
          <w:rFonts w:eastAsiaTheme="minorEastAsia"/>
        </w:rPr>
        <w:t>.</w:t>
      </w:r>
      <w:r w:rsidR="00132E6E">
        <w:rPr>
          <w:rFonts w:eastAsiaTheme="minorEastAsia"/>
        </w:rPr>
        <w:t xml:space="preserve">  </w:t>
      </w:r>
      <w:r w:rsidR="003058CB">
        <w:rPr>
          <w:rFonts w:eastAsiaTheme="minorEastAsia"/>
        </w:rPr>
        <w:t xml:space="preserve">When approximating the </w:t>
      </w:r>
      <w:r w:rsidR="00233F3A">
        <w:rPr>
          <w:rFonts w:eastAsiaTheme="minorEastAsia"/>
        </w:rPr>
        <w:t xml:space="preserve">roots of </w:t>
      </w:r>
      <m:oMath>
        <m:rad>
          <m:radPr>
            <m:degHide m:val="1"/>
            <m:ctrlPr>
              <w:rPr>
                <w:rFonts w:ascii="Cambria Math" w:hAnsi="Cambria Math"/>
                <w:i/>
              </w:rPr>
            </m:ctrlPr>
          </m:radPr>
          <m:deg/>
          <m:e>
            <m:r>
              <w:rPr>
                <w:rFonts w:ascii="Cambria Math" w:hAnsi="Cambria Math"/>
              </w:rPr>
              <m:t>N</m:t>
            </m:r>
          </m:e>
        </m:rad>
      </m:oMath>
      <w:r w:rsidR="00233F3A">
        <w:rPr>
          <w:rFonts w:eastAsiaTheme="minorEastAsia"/>
        </w:rPr>
        <w:t xml:space="preserve">, </w:t>
      </w:r>
      <w:r w:rsidR="008F42A0">
        <w:rPr>
          <w:rFonts w:eastAsiaTheme="minorEastAsia"/>
        </w:rPr>
        <w:t xml:space="preserve">use </w:t>
      </w:r>
      <w:r w:rsidR="00CD454A">
        <w:rPr>
          <w:rFonts w:eastAsiaTheme="minorEastAsia"/>
        </w:rPr>
        <w:t>repeated application of the</w:t>
      </w:r>
      <w:r w:rsidR="000F2FE3">
        <w:rPr>
          <w:rFonts w:eastAsiaTheme="minorEastAsia"/>
        </w:rPr>
        <w:t xml:space="preserve"> function below until you have achieved </w:t>
      </w:r>
      <w:r w:rsidR="009B0DA0">
        <w:rPr>
          <w:rFonts w:eastAsiaTheme="minorEastAsia"/>
        </w:rPr>
        <w:t>the desired level of precision</w:t>
      </w:r>
      <w:r w:rsidR="00CD454A">
        <w:rPr>
          <w:rFonts w:eastAsiaTheme="minorEastAsia"/>
        </w:rPr>
        <w:t>:</w:t>
      </w:r>
      <w:r w:rsidR="00CD454A">
        <w:rPr>
          <w:rFonts w:eastAsiaTheme="minorEastAsia"/>
        </w:rPr>
        <w:br/>
      </w: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den>
          </m:f>
        </m:oMath>
      </m:oMathPara>
    </w:p>
    <w:p w14:paraId="572B0E86" w14:textId="6BD5D77B" w:rsidR="00B51A6D" w:rsidRDefault="00F345E5" w:rsidP="003A2FAB">
      <w:pPr>
        <w:spacing w:after="200" w:line="240" w:lineRule="auto"/>
        <w:rPr>
          <w:rFonts w:eastAsiaTheme="minorEastAsia"/>
        </w:rPr>
      </w:pPr>
      <w:r>
        <w:rPr>
          <w:rFonts w:eastAsiaTheme="minorEastAsia"/>
        </w:rPr>
        <w:t xml:space="preserve">After each application of the above function, </w:t>
      </w:r>
      <w:r w:rsidR="00554CD9">
        <w:rPr>
          <w:rFonts w:eastAsiaTheme="minorEastAsia"/>
        </w:rPr>
        <w:t xml:space="preserve">use the error computation shown above to </w:t>
      </w:r>
      <w:r w:rsidR="00C150D0">
        <w:rPr>
          <w:rFonts w:eastAsiaTheme="minorEastAsia"/>
        </w:rPr>
        <w:t>determine if the</w:t>
      </w:r>
      <w:r w:rsidR="00DD2442">
        <w:rPr>
          <w:rFonts w:eastAsiaTheme="minorEastAsia"/>
        </w:rPr>
        <w:t xml:space="preserve"> error value </w:t>
      </w:r>
      <w:r w:rsidR="00554CD9">
        <w:rPr>
          <w:rFonts w:eastAsiaTheme="minorEastAsia"/>
        </w:rPr>
        <w:t xml:space="preserve">is </w:t>
      </w:r>
      <w:r w:rsidR="00102714">
        <w:rPr>
          <w:rFonts w:eastAsiaTheme="minorEastAsia"/>
        </w:rPr>
        <w:t xml:space="preserve">small enough to satisfy the desired level of precision.  </w:t>
      </w:r>
      <w:r w:rsidR="00762912">
        <w:rPr>
          <w:rFonts w:eastAsiaTheme="minorEastAsia"/>
        </w:rPr>
        <w:t xml:space="preserve">If not, </w:t>
      </w:r>
      <w:r w:rsidR="001E70B9">
        <w:rPr>
          <w:rFonts w:eastAsiaTheme="minorEastAsia"/>
        </w:rPr>
        <w:t>apply the above function again.</w:t>
      </w:r>
      <w:r w:rsidR="000F6733">
        <w:rPr>
          <w:rFonts w:eastAsiaTheme="minorEastAsia"/>
        </w:rPr>
        <w:t xml:space="preserve">  </w:t>
      </w:r>
      <w:r w:rsidR="00E02553">
        <w:rPr>
          <w:rFonts w:eastAsiaTheme="minorEastAsia"/>
        </w:rPr>
        <w:t xml:space="preserve">A C implementation </w:t>
      </w:r>
      <w:r w:rsidR="001F3979">
        <w:rPr>
          <w:rFonts w:eastAsiaTheme="minorEastAsia"/>
        </w:rPr>
        <w:t xml:space="preserve">that shows </w:t>
      </w:r>
      <w:r w:rsidR="00055787">
        <w:rPr>
          <w:rFonts w:eastAsiaTheme="minorEastAsia"/>
        </w:rPr>
        <w:t xml:space="preserve">how to use Newton’s method </w:t>
      </w:r>
      <w:r w:rsidR="003E5C87">
        <w:rPr>
          <w:rFonts w:eastAsiaTheme="minorEastAsia"/>
        </w:rPr>
        <w:t xml:space="preserve">to approximate the roots of </w:t>
      </w:r>
      <m:oMath>
        <m:rad>
          <m:radPr>
            <m:degHide m:val="1"/>
            <m:ctrlPr>
              <w:rPr>
                <w:rFonts w:ascii="Cambria Math" w:hAnsi="Cambria Math"/>
                <w:i/>
              </w:rPr>
            </m:ctrlPr>
          </m:radPr>
          <m:deg/>
          <m:e>
            <m:r>
              <w:rPr>
                <w:rFonts w:ascii="Cambria Math" w:hAnsi="Cambria Math"/>
              </w:rPr>
              <m:t>N</m:t>
            </m:r>
          </m:e>
        </m:rad>
      </m:oMath>
      <w:r w:rsidR="00AF6EE1">
        <w:rPr>
          <w:rFonts w:eastAsiaTheme="minorEastAsia"/>
        </w:rPr>
        <w:t xml:space="preserve"> </w:t>
      </w:r>
      <w:r w:rsidR="003E5C87">
        <w:rPr>
          <w:rFonts w:eastAsiaTheme="minorEastAsia"/>
        </w:rPr>
        <w:t xml:space="preserve">is </w:t>
      </w:r>
      <w:r w:rsidR="00091634">
        <w:rPr>
          <w:rFonts w:eastAsiaTheme="minorEastAsia"/>
        </w:rPr>
        <w:t xml:space="preserve">shown in Figure </w:t>
      </w:r>
      <w:r w:rsidR="003F791A">
        <w:rPr>
          <w:rFonts w:eastAsiaTheme="minorEastAsia"/>
        </w:rPr>
        <w:t>1</w:t>
      </w:r>
      <w:r w:rsidR="00091634">
        <w:rPr>
          <w:rFonts w:eastAsiaTheme="minorEastAsia"/>
        </w:rPr>
        <w:t>.</w:t>
      </w:r>
      <w:r w:rsidR="00170742">
        <w:rPr>
          <w:rFonts w:eastAsiaTheme="minorEastAsia"/>
        </w:rPr>
        <w:t xml:space="preserve">  An example of how to call that function is shown in Figure 2.</w:t>
      </w:r>
    </w:p>
    <w:p w14:paraId="7762BF32" w14:textId="6AC1F51E" w:rsidR="00384A32" w:rsidRDefault="00343829" w:rsidP="007E5B99">
      <w:pPr>
        <w:spacing w:after="200" w:line="240" w:lineRule="auto"/>
        <w:jc w:val="center"/>
        <w:rPr>
          <w:rFonts w:eastAsiaTheme="minorEastAsia"/>
        </w:rPr>
      </w:pPr>
      <w:r>
        <w:rPr>
          <w:rFonts w:eastAsiaTheme="minorEastAsia"/>
          <w:noProof/>
        </w:rPr>
        <w:drawing>
          <wp:inline distT="0" distB="0" distL="0" distR="0" wp14:anchorId="2DE57251" wp14:editId="2C2BC2CD">
            <wp:extent cx="3657600" cy="34768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1 at 10.23.39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476872"/>
                    </a:xfrm>
                    <a:prstGeom prst="rect">
                      <a:avLst/>
                    </a:prstGeom>
                  </pic:spPr>
                </pic:pic>
              </a:graphicData>
            </a:graphic>
          </wp:inline>
        </w:drawing>
      </w:r>
    </w:p>
    <w:p w14:paraId="2C97D79B" w14:textId="376EB661" w:rsidR="00F53792" w:rsidRDefault="00F53792" w:rsidP="00F53792">
      <w:pPr>
        <w:pStyle w:val="Caption"/>
        <w:jc w:val="center"/>
        <w:rPr>
          <w:color w:val="000000" w:themeColor="text1"/>
        </w:rPr>
      </w:pPr>
      <w:r w:rsidRPr="003A0012">
        <w:rPr>
          <w:color w:val="000000" w:themeColor="text1"/>
        </w:rPr>
        <w:t xml:space="preserve">Figure </w:t>
      </w:r>
      <w:r>
        <w:rPr>
          <w:color w:val="000000" w:themeColor="text1"/>
        </w:rPr>
        <w:t>1</w:t>
      </w:r>
      <w:r w:rsidRPr="003A0012">
        <w:rPr>
          <w:color w:val="000000" w:themeColor="text1"/>
        </w:rPr>
        <w:t xml:space="preserve">: </w:t>
      </w:r>
      <w:r w:rsidR="001C3695">
        <w:rPr>
          <w:color w:val="000000" w:themeColor="text1"/>
        </w:rPr>
        <w:t>Newton’s method to approximate</w:t>
      </w:r>
      <w:r w:rsidR="001C3695" w:rsidRPr="001C3695">
        <w:rPr>
          <w:color w:val="000000" w:themeColor="text1"/>
        </w:rPr>
        <w:t xml:space="preserve"> </w:t>
      </w:r>
      <m:oMath>
        <m:rad>
          <m:radPr>
            <m:degHide m:val="1"/>
            <m:ctrlPr>
              <w:rPr>
                <w:rFonts w:ascii="Cambria Math" w:hAnsi="Cambria Math"/>
                <w:i/>
                <w:color w:val="000000" w:themeColor="text1"/>
              </w:rPr>
            </m:ctrlPr>
          </m:radPr>
          <m:deg/>
          <m:e>
            <m:r>
              <m:rPr>
                <m:sty m:val="bi"/>
              </m:rPr>
              <w:rPr>
                <w:rFonts w:ascii="Cambria Math" w:hAnsi="Cambria Math"/>
                <w:color w:val="000000" w:themeColor="text1"/>
              </w:rPr>
              <m:t>N</m:t>
            </m:r>
          </m:e>
        </m:rad>
      </m:oMath>
    </w:p>
    <w:p w14:paraId="1CE587CF" w14:textId="6183E8BF" w:rsidR="00F53792" w:rsidRDefault="00343829" w:rsidP="007E5B99">
      <w:pPr>
        <w:spacing w:after="200" w:line="240" w:lineRule="auto"/>
        <w:jc w:val="center"/>
        <w:rPr>
          <w:rFonts w:eastAsiaTheme="minorEastAsia"/>
        </w:rPr>
      </w:pPr>
      <w:r>
        <w:rPr>
          <w:rFonts w:eastAsiaTheme="minorEastAsia"/>
          <w:noProof/>
        </w:rPr>
        <w:drawing>
          <wp:inline distT="0" distB="0" distL="0" distR="0" wp14:anchorId="1C84C161" wp14:editId="13F613CA">
            <wp:extent cx="3657600" cy="8950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1 at 10.23.39 PM copy.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895036"/>
                    </a:xfrm>
                    <a:prstGeom prst="rect">
                      <a:avLst/>
                    </a:prstGeom>
                  </pic:spPr>
                </pic:pic>
              </a:graphicData>
            </a:graphic>
          </wp:inline>
        </w:drawing>
      </w:r>
    </w:p>
    <w:p w14:paraId="63004D8F" w14:textId="32A8DCE1" w:rsidR="00554F6F" w:rsidRDefault="00554F6F" w:rsidP="00554F6F">
      <w:pPr>
        <w:pStyle w:val="Caption"/>
        <w:jc w:val="center"/>
        <w:rPr>
          <w:color w:val="000000" w:themeColor="text1"/>
        </w:rPr>
      </w:pPr>
      <w:r w:rsidRPr="003A0012">
        <w:rPr>
          <w:color w:val="000000" w:themeColor="text1"/>
        </w:rPr>
        <w:t xml:space="preserve">Figure </w:t>
      </w:r>
      <w:r>
        <w:rPr>
          <w:color w:val="000000" w:themeColor="text1"/>
        </w:rPr>
        <w:t>2</w:t>
      </w:r>
      <w:r w:rsidRPr="003A0012">
        <w:rPr>
          <w:color w:val="000000" w:themeColor="text1"/>
        </w:rPr>
        <w:t xml:space="preserve">: </w:t>
      </w:r>
      <w:r>
        <w:rPr>
          <w:color w:val="000000" w:themeColor="text1"/>
        </w:rPr>
        <w:t>Driver code for Newton’s method approximation</w:t>
      </w:r>
    </w:p>
    <w:p w14:paraId="170DD0EA" w14:textId="32B32D99" w:rsidR="00554F6F" w:rsidRDefault="00554F6F" w:rsidP="00587E40">
      <w:pPr>
        <w:spacing w:after="200" w:line="240" w:lineRule="auto"/>
        <w:rPr>
          <w:rFonts w:eastAsiaTheme="minorEastAsia"/>
        </w:rPr>
      </w:pPr>
    </w:p>
    <w:p w14:paraId="1EE90CF1" w14:textId="77777777" w:rsidR="00587E40" w:rsidRDefault="00587E40" w:rsidP="00587E40">
      <w:pPr>
        <w:spacing w:after="200" w:line="240" w:lineRule="auto"/>
        <w:rPr>
          <w:rFonts w:eastAsiaTheme="minorEastAsia"/>
        </w:rPr>
      </w:pPr>
    </w:p>
    <w:p w14:paraId="1721D56B" w14:textId="43471D3F" w:rsidR="009C057D" w:rsidRDefault="009C057D" w:rsidP="009C057D">
      <w:pPr>
        <w:widowControl w:val="0"/>
        <w:spacing w:line="240" w:lineRule="auto"/>
        <w:rPr>
          <w:b/>
        </w:rPr>
      </w:pPr>
      <w:r>
        <w:rPr>
          <w:b/>
        </w:rPr>
        <w:lastRenderedPageBreak/>
        <w:t>Programming Tasks</w:t>
      </w:r>
    </w:p>
    <w:p w14:paraId="42D04469" w14:textId="723858DB" w:rsidR="0003645C" w:rsidRDefault="0003645C" w:rsidP="00035C41">
      <w:r>
        <w:t xml:space="preserve">In this lab, you will be writing several procedures.  </w:t>
      </w:r>
      <w:r w:rsidR="00105940">
        <w:t xml:space="preserve">Remember to follow conventions.  </w:t>
      </w:r>
      <w:r w:rsidR="00A238DC">
        <w:t xml:space="preserve">A new convention, </w:t>
      </w:r>
      <w:r w:rsidR="007C39EF">
        <w:t xml:space="preserve">not previously discussed, is that all </w:t>
      </w:r>
      <w:r w:rsidR="007C39EF" w:rsidRPr="007C39EF">
        <w:rPr>
          <w:b/>
        </w:rPr>
        <w:t>$fX</w:t>
      </w:r>
      <w:r w:rsidR="007C39EF">
        <w:t xml:space="preserve"> registers should be treated as preserved registers.</w:t>
      </w:r>
      <w:r w:rsidR="00A66104">
        <w:t xml:space="preserve">  </w:t>
      </w:r>
      <w:r w:rsidR="00122E3E">
        <w:t xml:space="preserve">That is, </w:t>
      </w:r>
      <w:r w:rsidR="000F2167">
        <w:t xml:space="preserve">a CALLEE should preserve any </w:t>
      </w:r>
      <w:r w:rsidR="000F2167" w:rsidRPr="00756B0C">
        <w:rPr>
          <w:b/>
        </w:rPr>
        <w:t>$fX</w:t>
      </w:r>
      <w:r w:rsidR="000F2167">
        <w:t xml:space="preserve"> registers that it uses and restore those </w:t>
      </w:r>
      <w:r w:rsidR="006D4B48" w:rsidRPr="006D4B48">
        <w:rPr>
          <w:b/>
        </w:rPr>
        <w:t>$fX</w:t>
      </w:r>
      <w:r w:rsidR="006D4B48">
        <w:t xml:space="preserve"> </w:t>
      </w:r>
      <w:r w:rsidR="000F2167">
        <w:t>registers for the parent prior to returning.</w:t>
      </w:r>
    </w:p>
    <w:p w14:paraId="76B5B647" w14:textId="77777777" w:rsidR="00FA7DEE" w:rsidRDefault="00FA7DEE" w:rsidP="00035C41"/>
    <w:p w14:paraId="6FA9BD07" w14:textId="5D73E976" w:rsidR="0027541A" w:rsidRDefault="00035C41" w:rsidP="00035C41">
      <w:r>
        <w:t xml:space="preserve">1) </w:t>
      </w:r>
      <w:r w:rsidR="00246CA0">
        <w:t>In MARS, o</w:t>
      </w:r>
      <w:r>
        <w:t xml:space="preserve">pen the file called </w:t>
      </w:r>
      <w:r w:rsidRPr="00791D99">
        <w:rPr>
          <w:u w:val="single"/>
        </w:rPr>
        <w:t>lab0</w:t>
      </w:r>
      <w:r>
        <w:rPr>
          <w:u w:val="single"/>
        </w:rPr>
        <w:t>8</w:t>
      </w:r>
      <w:r w:rsidRPr="00791D99">
        <w:rPr>
          <w:u w:val="single"/>
        </w:rPr>
        <w:t>_part</w:t>
      </w:r>
      <w:r>
        <w:rPr>
          <w:u w:val="single"/>
        </w:rPr>
        <w:t>1</w:t>
      </w:r>
      <w:r w:rsidRPr="00791D99">
        <w:rPr>
          <w:u w:val="single"/>
        </w:rPr>
        <w:t>.asm</w:t>
      </w:r>
      <w:r>
        <w:t xml:space="preserve"> in the MARS Editor.</w:t>
      </w:r>
      <w:r w:rsidR="00D35534">
        <w:t xml:space="preserve">  </w:t>
      </w:r>
      <w:r w:rsidR="00D35534" w:rsidRPr="009465EC">
        <w:t>You’ll see the .data segment h</w:t>
      </w:r>
      <w:r w:rsidR="007064AD">
        <w:t>as already been populated with</w:t>
      </w:r>
      <w:r w:rsidR="00860EB1">
        <w:t xml:space="preserve"> value</w:t>
      </w:r>
      <w:r w:rsidR="007064AD">
        <w:t>s</w:t>
      </w:r>
      <w:r w:rsidR="00860EB1">
        <w:t xml:space="preserve"> for </w:t>
      </w:r>
      <w:r w:rsidR="00D35534" w:rsidRPr="007064AD">
        <w:rPr>
          <w:i/>
        </w:rPr>
        <w:t>n</w:t>
      </w:r>
      <w:r w:rsidR="007064AD">
        <w:t xml:space="preserve"> and </w:t>
      </w:r>
      <w:r w:rsidR="007064AD" w:rsidRPr="007064AD">
        <w:rPr>
          <w:i/>
        </w:rPr>
        <w:t>limit</w:t>
      </w:r>
      <w:r w:rsidR="007064AD">
        <w:t xml:space="preserve">.  </w:t>
      </w:r>
      <w:r w:rsidR="00160CED">
        <w:t xml:space="preserve">The value </w:t>
      </w:r>
      <w:r w:rsidR="0027541A" w:rsidRPr="00BE4CD2">
        <w:rPr>
          <w:i/>
        </w:rPr>
        <w:t>n</w:t>
      </w:r>
      <w:r w:rsidR="0027541A">
        <w:t xml:space="preserve"> is the </w:t>
      </w:r>
      <w:r w:rsidR="008A5DD3">
        <w:t xml:space="preserve">value </w:t>
      </w:r>
      <w:r w:rsidR="00C52A5C">
        <w:t xml:space="preserve">that will be input into the </w:t>
      </w:r>
      <w:r w:rsidR="0013776F">
        <w:t>“</w:t>
      </w:r>
      <w:r w:rsidR="00C52A5C" w:rsidRPr="00C52A5C">
        <w:rPr>
          <w:i/>
        </w:rPr>
        <w:t>squareRoot</w:t>
      </w:r>
      <w:r w:rsidR="0013776F">
        <w:rPr>
          <w:i/>
        </w:rPr>
        <w:t>”</w:t>
      </w:r>
      <w:r w:rsidR="00C52A5C">
        <w:t xml:space="preserve"> </w:t>
      </w:r>
      <w:r w:rsidR="006D756F">
        <w:t>procedure</w:t>
      </w:r>
      <w:r w:rsidR="00C52A5C">
        <w:t xml:space="preserve">.  </w:t>
      </w:r>
      <w:r w:rsidR="009017F8">
        <w:t xml:space="preserve">The </w:t>
      </w:r>
      <w:r w:rsidR="009017F8" w:rsidRPr="009017F8">
        <w:rPr>
          <w:i/>
        </w:rPr>
        <w:t>limit</w:t>
      </w:r>
      <w:r w:rsidR="009017F8">
        <w:t xml:space="preserve"> value </w:t>
      </w:r>
      <w:r w:rsidR="00365578">
        <w:t xml:space="preserve">specifies </w:t>
      </w:r>
      <w:r w:rsidR="00104C42">
        <w:t xml:space="preserve">the precision required for the approximation.  </w:t>
      </w:r>
      <w:r w:rsidR="00871EDE">
        <w:t xml:space="preserve">By making </w:t>
      </w:r>
      <w:r w:rsidR="00871EDE" w:rsidRPr="00871EDE">
        <w:rPr>
          <w:i/>
        </w:rPr>
        <w:t>limit</w:t>
      </w:r>
      <w:r w:rsidR="00871EDE">
        <w:t xml:space="preserve"> smaller (i.e. adding more zeros), </w:t>
      </w:r>
      <w:r w:rsidR="0014352F">
        <w:t xml:space="preserve">you can increase the precision of your approximation.  </w:t>
      </w:r>
      <w:r w:rsidR="002C401E">
        <w:t>You’ll also see some initialization code and driver code has</w:t>
      </w:r>
      <w:r w:rsidR="00F31F7A">
        <w:t xml:space="preserve"> been provided for you.  </w:t>
      </w:r>
      <w:r w:rsidR="00E84DE3">
        <w:t xml:space="preserve">You should not change, add, or remove any code from the </w:t>
      </w:r>
      <w:r w:rsidR="00E84DE3" w:rsidRPr="002053D5">
        <w:rPr>
          <w:i/>
        </w:rPr>
        <w:t>initialize</w:t>
      </w:r>
      <w:r w:rsidR="00E84DE3">
        <w:t xml:space="preserve"> or </w:t>
      </w:r>
      <w:r w:rsidR="00E84DE3" w:rsidRPr="002053D5">
        <w:rPr>
          <w:i/>
        </w:rPr>
        <w:t>ece260_main</w:t>
      </w:r>
      <w:r w:rsidR="00E84DE3">
        <w:t xml:space="preserve"> sections.</w:t>
      </w:r>
      <w:r w:rsidR="00C92108">
        <w:t xml:space="preserve">  Finally, you should see labels for the three procedures that you are required to implement: “</w:t>
      </w:r>
      <w:r w:rsidR="00C92108" w:rsidRPr="00C92108">
        <w:rPr>
          <w:i/>
        </w:rPr>
        <w:t>computeError</w:t>
      </w:r>
      <w:r w:rsidR="00C92108">
        <w:t xml:space="preserve">”, </w:t>
      </w:r>
      <w:r w:rsidR="00EF0DD0">
        <w:t>“</w:t>
      </w:r>
      <w:r w:rsidR="00C92108" w:rsidRPr="00EF0DD0">
        <w:rPr>
          <w:i/>
        </w:rPr>
        <w:t>getNextSquareRootApprox</w:t>
      </w:r>
      <w:r w:rsidR="00EF0DD0">
        <w:t>”</w:t>
      </w:r>
      <w:r w:rsidR="00C92108">
        <w:t xml:space="preserve">, and </w:t>
      </w:r>
      <w:r w:rsidR="00EF0DD0">
        <w:t>“</w:t>
      </w:r>
      <w:r w:rsidR="00C92108" w:rsidRPr="00EF0DD0">
        <w:rPr>
          <w:i/>
        </w:rPr>
        <w:t>squareRoot</w:t>
      </w:r>
      <w:r w:rsidR="00EF0DD0">
        <w:t>”</w:t>
      </w:r>
      <w:r w:rsidR="00C92108">
        <w:t>.</w:t>
      </w:r>
    </w:p>
    <w:p w14:paraId="46D3371D" w14:textId="7FD51C45" w:rsidR="00AD588D" w:rsidRPr="00B4055F" w:rsidRDefault="00912B66" w:rsidP="00035C41">
      <w:r>
        <w:t>2</w:t>
      </w:r>
      <w:r w:rsidR="00162F03">
        <w:t>.a</w:t>
      </w:r>
      <w:r>
        <w:t xml:space="preserve">) </w:t>
      </w:r>
      <w:r w:rsidR="00701BFF">
        <w:t>Implement the “</w:t>
      </w:r>
      <w:r w:rsidR="00701BFF" w:rsidRPr="00701BFF">
        <w:rPr>
          <w:i/>
        </w:rPr>
        <w:t>computeError</w:t>
      </w:r>
      <w:r w:rsidR="00701BFF">
        <w:t>” procedure.</w:t>
      </w:r>
      <w:r w:rsidR="000A3978">
        <w:t xml:space="preserve">  </w:t>
      </w:r>
      <w:r w:rsidR="00651911">
        <w:t xml:space="preserve">The procedure takes two double-precision floating-point values as input.  It returns a single double-precision floating-point value.  </w:t>
      </w:r>
      <w:r w:rsidR="00FF31CC">
        <w:t xml:space="preserve">Recall that each double-precision floating-point value </w:t>
      </w:r>
      <w:r w:rsidR="00A92380">
        <w:t xml:space="preserve">uses </w:t>
      </w:r>
      <w:r w:rsidR="00D1520F">
        <w:t xml:space="preserve">two 32-bit registers.  </w:t>
      </w:r>
      <w:r w:rsidR="00851C90">
        <w:t xml:space="preserve">Therefore, passing two double-precision floating-point values to the procedure will require all four </w:t>
      </w:r>
      <w:r w:rsidR="00851C90" w:rsidRPr="00851C90">
        <w:rPr>
          <w:b/>
        </w:rPr>
        <w:t>$aX</w:t>
      </w:r>
      <w:r w:rsidR="00851C90">
        <w:t xml:space="preserve"> registers.</w:t>
      </w:r>
      <w:r w:rsidR="00D97508">
        <w:t xml:space="preserve">  </w:t>
      </w:r>
      <w:r w:rsidR="00EC4FD5">
        <w:t xml:space="preserve">Likewise, returning a double-precision floating-point value from the procedure will require both </w:t>
      </w:r>
      <w:r w:rsidR="00EC4FD5" w:rsidRPr="00EC4FD5">
        <w:rPr>
          <w:b/>
        </w:rPr>
        <w:t>$v0</w:t>
      </w:r>
      <w:r w:rsidR="00EC4FD5">
        <w:t xml:space="preserve"> and </w:t>
      </w:r>
      <w:r w:rsidR="00EC4FD5" w:rsidRPr="00EC4FD5">
        <w:rPr>
          <w:b/>
        </w:rPr>
        <w:t>$v1</w:t>
      </w:r>
      <w:r w:rsidR="00EC4FD5">
        <w:t>.</w:t>
      </w:r>
      <w:r w:rsidR="00295AD4">
        <w:t xml:space="preserve">  Since you can only perform floating-point computation using </w:t>
      </w:r>
      <w:r w:rsidR="00295AD4" w:rsidRPr="00D91941">
        <w:rPr>
          <w:b/>
        </w:rPr>
        <w:t>$fX</w:t>
      </w:r>
      <w:r w:rsidR="00295AD4">
        <w:t xml:space="preserve"> registers, you will need to move input arguments from </w:t>
      </w:r>
      <w:r w:rsidR="00295AD4" w:rsidRPr="00947D8C">
        <w:rPr>
          <w:b/>
        </w:rPr>
        <w:t>$aX</w:t>
      </w:r>
      <w:r w:rsidR="00295AD4">
        <w:t xml:space="preserve"> registers into </w:t>
      </w:r>
      <w:r w:rsidR="00295AD4" w:rsidRPr="00947D8C">
        <w:rPr>
          <w:b/>
        </w:rPr>
        <w:t>$fX</w:t>
      </w:r>
      <w:r w:rsidR="00295AD4">
        <w:t xml:space="preserve"> registers.  Likewise, you will need to move your </w:t>
      </w:r>
      <w:r w:rsidR="009F5E42">
        <w:t>computed</w:t>
      </w:r>
      <w:r w:rsidR="00295AD4">
        <w:t xml:space="preserve"> result from </w:t>
      </w:r>
      <w:r w:rsidR="00295AD4" w:rsidRPr="009F5E42">
        <w:rPr>
          <w:b/>
        </w:rPr>
        <w:t>$fX</w:t>
      </w:r>
      <w:r w:rsidR="00295AD4">
        <w:t xml:space="preserve"> registers into </w:t>
      </w:r>
      <w:r w:rsidR="00295AD4" w:rsidRPr="007A5E3B">
        <w:rPr>
          <w:b/>
        </w:rPr>
        <w:t>$vX</w:t>
      </w:r>
      <w:r w:rsidR="00295AD4">
        <w:t xml:space="preserve"> registers to return the result.</w:t>
      </w:r>
      <w:r w:rsidR="00B4055F">
        <w:t xml:space="preserve">  </w:t>
      </w:r>
      <w:r w:rsidR="00AD588D" w:rsidRPr="0055126B">
        <w:rPr>
          <w:b/>
          <w:color w:val="FF0000"/>
        </w:rPr>
        <w:t xml:space="preserve">HINT: </w:t>
      </w:r>
      <w:r w:rsidR="00476859" w:rsidRPr="0055126B">
        <w:rPr>
          <w:b/>
          <w:color w:val="FF0000"/>
        </w:rPr>
        <w:t>You may need to add more space to the stack than expected</w:t>
      </w:r>
      <w:r w:rsidR="00BD00C5" w:rsidRPr="0055126B">
        <w:rPr>
          <w:b/>
          <w:color w:val="FF0000"/>
        </w:rPr>
        <w:t xml:space="preserve"> to </w:t>
      </w:r>
      <w:r w:rsidR="00A66A71" w:rsidRPr="0055126B">
        <w:rPr>
          <w:b/>
          <w:color w:val="FF0000"/>
        </w:rPr>
        <w:t>get</w:t>
      </w:r>
      <w:r w:rsidR="00BD00C5" w:rsidRPr="0055126B">
        <w:rPr>
          <w:b/>
          <w:color w:val="FF0000"/>
        </w:rPr>
        <w:t xml:space="preserve"> the stack pointer doubleword aligned.</w:t>
      </w:r>
      <w:r w:rsidR="0055126B">
        <w:rPr>
          <w:b/>
          <w:color w:val="FF0000"/>
        </w:rPr>
        <w:t xml:space="preserve">  Start the procedure by AND-ing the stack pointer with the value 0x7.  The result of this AND instruction will tell you how many bytes you need to move your stack pointer to get it double-word aligned.  </w:t>
      </w:r>
      <w:r w:rsidR="00607B80">
        <w:rPr>
          <w:b/>
          <w:color w:val="FF0000"/>
        </w:rPr>
        <w:t xml:space="preserve">Subtract that value from the stack pointer </w:t>
      </w:r>
      <w:r w:rsidR="00F94FF0">
        <w:rPr>
          <w:b/>
          <w:color w:val="FF0000"/>
        </w:rPr>
        <w:t>before doing any other stack manipulations</w:t>
      </w:r>
      <w:r w:rsidR="004654CF">
        <w:rPr>
          <w:b/>
          <w:color w:val="FF0000"/>
        </w:rPr>
        <w:t xml:space="preserve"> so you know that stack pointer is double-word aligned.</w:t>
      </w:r>
    </w:p>
    <w:p w14:paraId="3A2C495B" w14:textId="7F8FC88A" w:rsidR="00ED52B6" w:rsidRDefault="00ED52B6" w:rsidP="00ED52B6">
      <w:pPr>
        <w:widowControl w:val="0"/>
        <w:spacing w:line="240" w:lineRule="auto"/>
      </w:pPr>
      <w:r>
        <w:t xml:space="preserve">2.b) Unit tests have been provided that will allow you to do some automated testing on the </w:t>
      </w:r>
      <w:r w:rsidRPr="002D6606">
        <w:rPr>
          <w:i/>
        </w:rPr>
        <w:t>“</w:t>
      </w:r>
      <w:r w:rsidR="002D6606">
        <w:rPr>
          <w:i/>
        </w:rPr>
        <w:t>computeError</w:t>
      </w:r>
      <w:r w:rsidRPr="002D6606">
        <w:rPr>
          <w:i/>
        </w:rPr>
        <w:t>”</w:t>
      </w:r>
      <w:r>
        <w:t xml:space="preserve"> procedure before continuing.  Do not move onto the next step until you are certain that your “</w:t>
      </w:r>
      <w:r w:rsidR="00CD7719">
        <w:rPr>
          <w:i/>
        </w:rPr>
        <w:t>computeError</w:t>
      </w:r>
      <w:r w:rsidRPr="00CD7719">
        <w:rPr>
          <w:i/>
        </w:rPr>
        <w:t>”</w:t>
      </w:r>
      <w:r>
        <w:t xml:space="preserve"> procedure operates correctly.  To run the supplied unit tests for the </w:t>
      </w:r>
      <w:r w:rsidR="009C55DB">
        <w:t>“</w:t>
      </w:r>
      <w:r w:rsidR="009C55DB">
        <w:rPr>
          <w:i/>
        </w:rPr>
        <w:t>computeError</w:t>
      </w:r>
      <w:r w:rsidR="009C55DB" w:rsidRPr="00DD5DA2">
        <w:t>”</w:t>
      </w:r>
      <w:r>
        <w:t xml:space="preserve"> procedure, open a Cygwin shell and type the following:</w:t>
      </w:r>
    </w:p>
    <w:p w14:paraId="500706D8" w14:textId="368F31E0" w:rsidR="00ED52B6" w:rsidRPr="004B039E" w:rsidRDefault="00ED52B6" w:rsidP="00ED52B6">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795F06" w:rsidRPr="00795F06">
        <w:rPr>
          <w:rFonts w:ascii="Courier New" w:hAnsi="Courier New" w:cs="Courier New"/>
        </w:rPr>
        <w:t>Lab08_More_Fun_with_Floats</w:t>
      </w:r>
      <w:r w:rsidRPr="004B039E">
        <w:rPr>
          <w:rFonts w:ascii="Courier New" w:hAnsi="Courier New" w:cs="Courier New"/>
        </w:rPr>
        <w:br/>
        <w:t xml:space="preserve">make </w:t>
      </w:r>
      <w:r w:rsidR="00994ECA" w:rsidRPr="00994ECA">
        <w:rPr>
          <w:rFonts w:ascii="Courier New" w:hAnsi="Courier New" w:cs="Courier New"/>
        </w:rPr>
        <w:t>test_part1_computeError</w:t>
      </w:r>
    </w:p>
    <w:p w14:paraId="389E5DB1" w14:textId="288FE54B" w:rsidR="00ED52B6" w:rsidRDefault="00ED52B6" w:rsidP="00ED52B6">
      <w:r>
        <w:t>You will see output that indicates if your procedure passed or failed the included unit tests.  If your code did NOT pass the units tests, address any errors and try running the unit tests again.</w:t>
      </w:r>
    </w:p>
    <w:p w14:paraId="352FA6CB" w14:textId="341EB136" w:rsidR="002963B4" w:rsidRDefault="002963B4" w:rsidP="00ED52B6"/>
    <w:p w14:paraId="1881425B" w14:textId="77777777" w:rsidR="00FA7DEE" w:rsidRDefault="00FA7DEE" w:rsidP="00ED52B6"/>
    <w:p w14:paraId="59D19140" w14:textId="5311AF15" w:rsidR="009D611A" w:rsidRDefault="0060685F" w:rsidP="009D611A">
      <w:r>
        <w:t xml:space="preserve">3.a) </w:t>
      </w:r>
      <w:r w:rsidR="009D611A">
        <w:t>Implement the “</w:t>
      </w:r>
      <w:r w:rsidR="009D611A" w:rsidRPr="009D611A">
        <w:rPr>
          <w:i/>
        </w:rPr>
        <w:t>getNextSquareRootApprox</w:t>
      </w:r>
      <w:r w:rsidR="009D611A">
        <w:t xml:space="preserve">” procedure.  The procedure takes two double-precision floating-point values as input.  It returns a single double-precision floating-point value.  </w:t>
      </w:r>
      <w:r w:rsidR="00312C58">
        <w:t>T</w:t>
      </w:r>
      <w:r w:rsidR="00B96B72">
        <w:t>he</w:t>
      </w:r>
      <w:r w:rsidR="009D611A">
        <w:t xml:space="preserve"> double-precision floating-point </w:t>
      </w:r>
      <w:r w:rsidR="00312C58">
        <w:t xml:space="preserve">result should be returned using </w:t>
      </w:r>
      <w:r w:rsidR="009D611A">
        <w:t xml:space="preserve">both </w:t>
      </w:r>
      <w:r w:rsidR="009D611A" w:rsidRPr="00EC4FD5">
        <w:rPr>
          <w:b/>
        </w:rPr>
        <w:t>$v0</w:t>
      </w:r>
      <w:r w:rsidR="009D611A">
        <w:t xml:space="preserve"> and </w:t>
      </w:r>
      <w:r w:rsidR="009D611A" w:rsidRPr="00EC4FD5">
        <w:rPr>
          <w:b/>
        </w:rPr>
        <w:t>$v1</w:t>
      </w:r>
      <w:r w:rsidR="009D611A">
        <w:t>.</w:t>
      </w:r>
      <w:r w:rsidR="00B167B3">
        <w:t xml:space="preserve">  As shown in Figure 1, the </w:t>
      </w:r>
      <w:r w:rsidR="00C51F1B">
        <w:t>“</w:t>
      </w:r>
      <w:r w:rsidR="00C51F1B" w:rsidRPr="009D611A">
        <w:rPr>
          <w:i/>
        </w:rPr>
        <w:t>getNextSquareRootApprox</w:t>
      </w:r>
      <w:r w:rsidR="00C51F1B">
        <w:t>”</w:t>
      </w:r>
      <w:r w:rsidR="00D3181C">
        <w:t xml:space="preserve"> </w:t>
      </w:r>
      <w:r w:rsidR="00B167B3">
        <w:t>procedure should compute the result of the following equation</w:t>
      </w:r>
      <w:r w:rsidR="00FB7F1F">
        <w:t xml:space="preserve"> and</w:t>
      </w:r>
      <w:r w:rsidR="008A1CEE">
        <w:t xml:space="preserve"> </w:t>
      </w:r>
      <w:r w:rsidR="00FB7F1F">
        <w:t>return</w:t>
      </w:r>
      <w:r w:rsidR="008A1CEE">
        <w:t xml:space="preserve"> the </w:t>
      </w:r>
      <w:r w:rsidR="006A3B52">
        <w:t xml:space="preserve">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oMath>
      <w:r w:rsidR="006A3B52">
        <w:rPr>
          <w:rFonts w:eastAsiaTheme="minorEastAsia"/>
          <w:sz w:val="24"/>
          <w:szCs w:val="24"/>
        </w:rPr>
        <w:t>:</w:t>
      </w:r>
    </w:p>
    <w:p w14:paraId="20E403BC" w14:textId="72C18518" w:rsidR="00B167B3" w:rsidRPr="000B14B3" w:rsidRDefault="00000494" w:rsidP="009D611A">
      <w:pPr>
        <w:rPr>
          <w:i/>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sup>
                  <m:r>
                    <w:rPr>
                      <w:rFonts w:ascii="Cambria Math" w:hAnsi="Cambria Math"/>
                      <w:sz w:val="28"/>
                      <w:szCs w:val="28"/>
                    </w:rPr>
                    <m:t>2</m:t>
                  </m:r>
                </m:sup>
              </m:sSup>
              <m:r>
                <w:rPr>
                  <w:rFonts w:ascii="Cambria Math" w:hAnsi="Cambria Math"/>
                  <w:sz w:val="28"/>
                  <w:szCs w:val="28"/>
                </w:rPr>
                <m:t>-N</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den>
          </m:f>
        </m:oMath>
      </m:oMathPara>
    </w:p>
    <w:p w14:paraId="6573B9EB" w14:textId="2CE28027" w:rsidR="00CB00C2" w:rsidRDefault="00CB00C2" w:rsidP="009D611A">
      <w:pPr>
        <w:widowControl w:val="0"/>
        <w:spacing w:line="240" w:lineRule="auto"/>
      </w:pPr>
      <w:r w:rsidRPr="00554C3F">
        <w:rPr>
          <w:b/>
        </w:rPr>
        <w:t>HINT:</w:t>
      </w:r>
      <w:r>
        <w:t xml:space="preserve"> You will need to </w:t>
      </w:r>
      <w:r w:rsidR="006E6EEC">
        <w:t>initialize</w:t>
      </w:r>
      <w:r>
        <w:t xml:space="preserve"> one of your </w:t>
      </w:r>
      <w:r w:rsidRPr="00432438">
        <w:rPr>
          <w:b/>
        </w:rPr>
        <w:t>$fX</w:t>
      </w:r>
      <w:r>
        <w:t xml:space="preserve"> registers </w:t>
      </w:r>
      <w:r w:rsidR="00E43D38">
        <w:t xml:space="preserve">with the double-precision floating-point value 2.0.  </w:t>
      </w:r>
      <w:r w:rsidR="005473C4">
        <w:t xml:space="preserve">Try moving an integer value into an </w:t>
      </w:r>
      <w:r w:rsidR="005473C4" w:rsidRPr="0017644D">
        <w:rPr>
          <w:b/>
        </w:rPr>
        <w:t>$fX</w:t>
      </w:r>
      <w:r w:rsidR="005473C4">
        <w:t xml:space="preserve"> register and then converting it into a double.</w:t>
      </w:r>
    </w:p>
    <w:p w14:paraId="57BE29B4" w14:textId="41333B38" w:rsidR="009D611A" w:rsidRDefault="00E66792" w:rsidP="009D611A">
      <w:pPr>
        <w:widowControl w:val="0"/>
        <w:spacing w:line="240" w:lineRule="auto"/>
      </w:pPr>
      <w:r>
        <w:lastRenderedPageBreak/>
        <w:t>3</w:t>
      </w:r>
      <w:r w:rsidR="009D611A">
        <w:t xml:space="preserve">.b) Unit tests have been provided that will allow you to do some automated testing on the </w:t>
      </w:r>
      <w:r w:rsidR="009D611A" w:rsidRPr="00A25C3D">
        <w:t>“</w:t>
      </w:r>
      <w:r w:rsidR="00A25C3D" w:rsidRPr="009D611A">
        <w:rPr>
          <w:i/>
        </w:rPr>
        <w:t>getNextSquareRootApprox</w:t>
      </w:r>
      <w:r w:rsidR="009D611A" w:rsidRPr="00A25C3D">
        <w:t>”</w:t>
      </w:r>
      <w:r w:rsidR="009D611A">
        <w:t xml:space="preserve"> procedure before continuing.  Do not move onto the next step until you are certain that your “</w:t>
      </w:r>
      <w:r w:rsidR="00A25C3D" w:rsidRPr="009D611A">
        <w:rPr>
          <w:i/>
        </w:rPr>
        <w:t>getNextSquareRootApprox</w:t>
      </w:r>
      <w:r w:rsidR="009D611A" w:rsidRPr="00A25C3D">
        <w:t>”</w:t>
      </w:r>
      <w:r w:rsidR="009D611A">
        <w:t xml:space="preserve"> procedure operates correctly.  To run the supplied unit tests for the “</w:t>
      </w:r>
      <w:r w:rsidR="00A25C3D" w:rsidRPr="009D611A">
        <w:rPr>
          <w:i/>
        </w:rPr>
        <w:t>getNextSquareRootApprox</w:t>
      </w:r>
      <w:r w:rsidR="009D611A" w:rsidRPr="00DD5DA2">
        <w:t>”</w:t>
      </w:r>
      <w:r w:rsidR="009D611A">
        <w:t xml:space="preserve"> procedure, open a Cygwin shell and type the following:</w:t>
      </w:r>
    </w:p>
    <w:p w14:paraId="3552B5FC" w14:textId="1D701850" w:rsidR="009D611A" w:rsidRPr="004B039E" w:rsidRDefault="009D611A" w:rsidP="009D611A">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795F06">
        <w:rPr>
          <w:rFonts w:ascii="Courier New" w:hAnsi="Courier New" w:cs="Courier New"/>
        </w:rPr>
        <w:t>Lab08_More_Fun_with_Floats</w:t>
      </w:r>
      <w:r w:rsidRPr="004B039E">
        <w:rPr>
          <w:rFonts w:ascii="Courier New" w:hAnsi="Courier New" w:cs="Courier New"/>
        </w:rPr>
        <w:br/>
        <w:t xml:space="preserve">make </w:t>
      </w:r>
      <w:r w:rsidRPr="00994ECA">
        <w:rPr>
          <w:rFonts w:ascii="Courier New" w:hAnsi="Courier New" w:cs="Courier New"/>
        </w:rPr>
        <w:t>test_pa</w:t>
      </w:r>
      <w:r w:rsidRPr="0014072D">
        <w:rPr>
          <w:rFonts w:ascii="Courier New" w:hAnsi="Courier New" w:cs="Courier New"/>
        </w:rPr>
        <w:t>rt1_</w:t>
      </w:r>
      <w:r w:rsidR="0014072D" w:rsidRPr="0014072D">
        <w:rPr>
          <w:rFonts w:ascii="Courier New" w:hAnsi="Courier New" w:cs="Courier New"/>
        </w:rPr>
        <w:t>getNextSquareRootApprox</w:t>
      </w:r>
    </w:p>
    <w:p w14:paraId="37EC99E1" w14:textId="61C2860C" w:rsidR="002C2DBC" w:rsidRDefault="009D611A" w:rsidP="009D611A">
      <w:r>
        <w:t>You will see output that indicates if your procedure passed or failed the included unit tests.  If your code did NOT pass the units tests, address any errors and try running the unit tests again.</w:t>
      </w:r>
    </w:p>
    <w:p w14:paraId="7E9D6940" w14:textId="088D71D9" w:rsidR="00341D01" w:rsidRDefault="00341D01" w:rsidP="009D611A"/>
    <w:p w14:paraId="35555797" w14:textId="77777777" w:rsidR="00F971AB" w:rsidRDefault="00F971AB" w:rsidP="009D611A"/>
    <w:p w14:paraId="560FB765" w14:textId="61553580" w:rsidR="00DA6254" w:rsidRPr="000D10E0" w:rsidRDefault="004B6FCD" w:rsidP="00827ABB">
      <w:r>
        <w:t xml:space="preserve">4.a) </w:t>
      </w:r>
      <w:r w:rsidR="00827ABB">
        <w:t>Implement the “</w:t>
      </w:r>
      <w:r w:rsidR="00042EB4" w:rsidRPr="00042EB4">
        <w:rPr>
          <w:i/>
        </w:rPr>
        <w:t>squareRoot</w:t>
      </w:r>
      <w:r w:rsidR="00827ABB">
        <w:t xml:space="preserve">” procedure.  The procedure takes two double-precision floating-point values as input.  It returns a single double-precision floating-point value.  </w:t>
      </w:r>
      <w:r w:rsidR="00A4322F">
        <w:t xml:space="preserve">The double-precision floating-point result should be </w:t>
      </w:r>
      <w:r w:rsidR="009342AE">
        <w:t xml:space="preserve">an approximation of </w:t>
      </w:r>
      <m:oMath>
        <m:rad>
          <m:radPr>
            <m:degHide m:val="1"/>
            <m:ctrlPr>
              <w:rPr>
                <w:rFonts w:ascii="Cambria Math" w:hAnsi="Cambria Math"/>
                <w:i/>
              </w:rPr>
            </m:ctrlPr>
          </m:radPr>
          <m:deg/>
          <m:e>
            <m:r>
              <w:rPr>
                <w:rFonts w:ascii="Cambria Math" w:hAnsi="Cambria Math"/>
              </w:rPr>
              <m:t>N</m:t>
            </m:r>
          </m:e>
        </m:rad>
      </m:oMath>
      <w:r w:rsidR="0088318E">
        <w:rPr>
          <w:rFonts w:eastAsiaTheme="minorEastAsia"/>
        </w:rPr>
        <w:t xml:space="preserve"> and should be returned </w:t>
      </w:r>
      <w:r w:rsidR="0022428D">
        <w:t xml:space="preserve">using </w:t>
      </w:r>
      <w:r w:rsidR="00A4322F">
        <w:t xml:space="preserve">both </w:t>
      </w:r>
      <w:r w:rsidR="00A4322F" w:rsidRPr="00EC4FD5">
        <w:rPr>
          <w:b/>
        </w:rPr>
        <w:t>$v0</w:t>
      </w:r>
      <w:r w:rsidR="00A4322F">
        <w:t xml:space="preserve"> and </w:t>
      </w:r>
      <w:r w:rsidR="00A4322F" w:rsidRPr="00EC4FD5">
        <w:rPr>
          <w:b/>
        </w:rPr>
        <w:t>$v1</w:t>
      </w:r>
      <w:r w:rsidR="00A4322F">
        <w:t>.</w:t>
      </w:r>
      <w:r w:rsidR="00962496">
        <w:rPr>
          <w:rFonts w:eastAsiaTheme="minorEastAsia"/>
        </w:rPr>
        <w:t xml:space="preserve"> </w:t>
      </w:r>
      <w:r w:rsidR="0088318E">
        <w:rPr>
          <w:rFonts w:eastAsiaTheme="minorEastAsia"/>
        </w:rPr>
        <w:t xml:space="preserve"> </w:t>
      </w:r>
      <w:r w:rsidR="000D10E0">
        <w:rPr>
          <w:rFonts w:eastAsiaTheme="minorEastAsia"/>
        </w:rPr>
        <w:t xml:space="preserve">This procedure will use your </w:t>
      </w:r>
      <w:r w:rsidR="000D10E0" w:rsidRPr="000D10E0">
        <w:t>“</w:t>
      </w:r>
      <w:r w:rsidR="000D10E0">
        <w:rPr>
          <w:i/>
        </w:rPr>
        <w:t>computeError</w:t>
      </w:r>
      <w:r w:rsidR="000D10E0" w:rsidRPr="000D10E0">
        <w:t>”</w:t>
      </w:r>
      <w:r w:rsidR="000D10E0">
        <w:rPr>
          <w:i/>
        </w:rPr>
        <w:t xml:space="preserve"> and </w:t>
      </w:r>
      <w:r w:rsidR="000D10E0" w:rsidRPr="000D10E0">
        <w:t>“</w:t>
      </w:r>
      <w:r w:rsidR="000D10E0" w:rsidRPr="009D611A">
        <w:rPr>
          <w:i/>
        </w:rPr>
        <w:t>getNextSquareRootApprox</w:t>
      </w:r>
      <w:r w:rsidR="000D10E0" w:rsidRPr="000D10E0">
        <w:t>”</w:t>
      </w:r>
      <w:r w:rsidR="000D10E0">
        <w:rPr>
          <w:i/>
        </w:rPr>
        <w:t xml:space="preserve"> </w:t>
      </w:r>
      <w:r w:rsidR="000D10E0">
        <w:t xml:space="preserve">procedures.  </w:t>
      </w:r>
      <w:r w:rsidR="006B33DD">
        <w:t>Note that this procedure is called from the su</w:t>
      </w:r>
      <w:r w:rsidR="00FD288E">
        <w:t>pplied driver code under th</w:t>
      </w:r>
      <w:r w:rsidR="00887CD9">
        <w:t>e</w:t>
      </w:r>
      <w:r w:rsidR="00FD288E">
        <w:t xml:space="preserve"> </w:t>
      </w:r>
      <w:r w:rsidR="006B33DD" w:rsidRPr="006B33DD">
        <w:rPr>
          <w:i/>
        </w:rPr>
        <w:t>ece260_main</w:t>
      </w:r>
      <w:r w:rsidR="00FD288E" w:rsidRPr="00FD288E">
        <w:t xml:space="preserve"> label</w:t>
      </w:r>
      <w:r w:rsidR="006B33DD">
        <w:t xml:space="preserve">.  </w:t>
      </w:r>
      <w:r w:rsidR="00CF7F86">
        <w:t xml:space="preserve">The supplied driver code </w:t>
      </w:r>
      <w:r w:rsidR="00A05D74">
        <w:t xml:space="preserve">loads the values </w:t>
      </w:r>
      <w:r w:rsidR="00A05D74" w:rsidRPr="00A05D74">
        <w:rPr>
          <w:i/>
        </w:rPr>
        <w:t>n</w:t>
      </w:r>
      <w:r w:rsidR="00A05D74">
        <w:t xml:space="preserve"> and </w:t>
      </w:r>
      <w:r w:rsidR="00A05D74" w:rsidRPr="00A05D74">
        <w:rPr>
          <w:i/>
        </w:rPr>
        <w:t>limit</w:t>
      </w:r>
      <w:r w:rsidR="00A05D74">
        <w:t xml:space="preserve"> from the </w:t>
      </w:r>
      <w:r w:rsidR="00A05D74" w:rsidRPr="007E5288">
        <w:rPr>
          <w:i/>
        </w:rPr>
        <w:t>.data</w:t>
      </w:r>
      <w:r w:rsidR="00A05D74">
        <w:t xml:space="preserve"> section, </w:t>
      </w:r>
      <w:r w:rsidR="00DC1ADD">
        <w:t xml:space="preserve">moves them into </w:t>
      </w:r>
      <w:r w:rsidR="00DC1ADD" w:rsidRPr="00DC1ADD">
        <w:rPr>
          <w:b/>
        </w:rPr>
        <w:t>$a0</w:t>
      </w:r>
      <w:r w:rsidR="00DC1ADD">
        <w:t xml:space="preserve"> and </w:t>
      </w:r>
      <w:r w:rsidR="00DC1ADD" w:rsidRPr="00DC1ADD">
        <w:rPr>
          <w:b/>
        </w:rPr>
        <w:t>$a2</w:t>
      </w:r>
      <w:r w:rsidR="00DC1ADD" w:rsidRPr="00DC1ADD">
        <w:t xml:space="preserve"> respectively</w:t>
      </w:r>
      <w:r w:rsidR="00DC1ADD">
        <w:t xml:space="preserve">, </w:t>
      </w:r>
      <w:r w:rsidR="002A434D">
        <w:t xml:space="preserve">and performs a jump-and-link </w:t>
      </w:r>
      <w:r w:rsidR="00AD3048">
        <w:t>(</w:t>
      </w:r>
      <w:r w:rsidR="00AD3048" w:rsidRPr="00AD3048">
        <w:rPr>
          <w:i/>
        </w:rPr>
        <w:t>jal</w:t>
      </w:r>
      <w:r w:rsidR="00AD3048">
        <w:t xml:space="preserve">) to call </w:t>
      </w:r>
      <w:r w:rsidR="008C125F">
        <w:t>the “</w:t>
      </w:r>
      <w:r w:rsidR="008C125F" w:rsidRPr="008C125F">
        <w:rPr>
          <w:i/>
        </w:rPr>
        <w:t>squareRoot</w:t>
      </w:r>
      <w:r w:rsidR="008C125F">
        <w:t>” procedure.</w:t>
      </w:r>
      <w:r w:rsidR="00D2251B">
        <w:t xml:space="preserve">  </w:t>
      </w:r>
      <w:r w:rsidR="00D14497">
        <w:t>When the “</w:t>
      </w:r>
      <w:r w:rsidR="00D14497" w:rsidRPr="008C125F">
        <w:rPr>
          <w:i/>
        </w:rPr>
        <w:t>squareRoot</w:t>
      </w:r>
      <w:r w:rsidR="00D14497">
        <w:t xml:space="preserve">” procedure returns, the result is moved into register </w:t>
      </w:r>
      <w:r w:rsidR="00D14497" w:rsidRPr="00D14497">
        <w:rPr>
          <w:b/>
        </w:rPr>
        <w:t>$f12</w:t>
      </w:r>
      <w:r w:rsidR="00D14497">
        <w:t xml:space="preserve"> and printed</w:t>
      </w:r>
      <w:r w:rsidR="00016CD9">
        <w:t xml:space="preserve"> using a </w:t>
      </w:r>
      <w:r w:rsidR="00016CD9" w:rsidRPr="00016CD9">
        <w:rPr>
          <w:i/>
        </w:rPr>
        <w:t>syscall</w:t>
      </w:r>
      <w:r w:rsidR="00180613" w:rsidRPr="00180613">
        <w:t xml:space="preserve"> </w:t>
      </w:r>
      <w:r w:rsidR="00180613">
        <w:t>instruction</w:t>
      </w:r>
      <w:r w:rsidR="00D14497">
        <w:t>.</w:t>
      </w:r>
      <w:r w:rsidR="000B3DF6">
        <w:t xml:space="preserve">  </w:t>
      </w:r>
      <w:r w:rsidR="000B3DF6" w:rsidRPr="00AF3305">
        <w:rPr>
          <w:b/>
        </w:rPr>
        <w:t>HINT:</w:t>
      </w:r>
      <w:r w:rsidR="000B3DF6">
        <w:t xml:space="preserve"> For this procedure, you will need </w:t>
      </w:r>
      <w:r w:rsidR="000B3DF6" w:rsidRPr="000B3DF6">
        <w:rPr>
          <w:b/>
        </w:rPr>
        <w:t>$fX</w:t>
      </w:r>
      <w:r w:rsidR="000B3DF6">
        <w:t xml:space="preserve"> registers for </w:t>
      </w:r>
      <w:r w:rsidR="000B3DF6" w:rsidRPr="006D79E0">
        <w:rPr>
          <w:i/>
        </w:rPr>
        <w:t>n</w:t>
      </w:r>
      <w:r w:rsidR="000B3DF6">
        <w:t xml:space="preserve">, </w:t>
      </w:r>
      <w:r w:rsidR="000B3DF6" w:rsidRPr="006D79E0">
        <w:rPr>
          <w:i/>
        </w:rPr>
        <w:t>error</w:t>
      </w:r>
      <w:r w:rsidR="000B3DF6">
        <w:t xml:space="preserve">, </w:t>
      </w:r>
      <w:r w:rsidR="000B3DF6" w:rsidRPr="006D79E0">
        <w:rPr>
          <w:i/>
        </w:rPr>
        <w:t>limit</w:t>
      </w:r>
      <w:r w:rsidR="000B3DF6">
        <w:t>,</w:t>
      </w:r>
      <w:r w:rsidR="000B3DF6" w:rsidRPr="006D79E0">
        <w:rPr>
          <w:i/>
        </w:rPr>
        <w:t xml:space="preserve"> x_n</w:t>
      </w:r>
      <w:r w:rsidR="000B3DF6">
        <w:t xml:space="preserve">, and </w:t>
      </w:r>
      <w:r w:rsidR="000B3DF6" w:rsidRPr="006D79E0">
        <w:rPr>
          <w:i/>
        </w:rPr>
        <w:t>x_n_plus_1</w:t>
      </w:r>
      <w:r w:rsidR="000B3DF6">
        <w:t>.</w:t>
      </w:r>
      <w:r w:rsidR="00972BA4">
        <w:t xml:space="preserve">  Initialize these registers before starting your loop.</w:t>
      </w:r>
    </w:p>
    <w:p w14:paraId="52E8B6E9" w14:textId="731B2F8C" w:rsidR="00827ABB" w:rsidRDefault="003B2F43" w:rsidP="00827ABB">
      <w:pPr>
        <w:widowControl w:val="0"/>
        <w:spacing w:line="240" w:lineRule="auto"/>
      </w:pPr>
      <w:r>
        <w:t>4</w:t>
      </w:r>
      <w:r w:rsidR="00827ABB">
        <w:t xml:space="preserve">.b) Unit tests have been provided that will allow you to do some automated testing on the </w:t>
      </w:r>
      <w:r w:rsidR="00827ABB" w:rsidRPr="00864939">
        <w:t>“</w:t>
      </w:r>
      <w:r w:rsidR="00864939" w:rsidRPr="00042EB4">
        <w:rPr>
          <w:i/>
        </w:rPr>
        <w:t>squareRoot</w:t>
      </w:r>
      <w:r w:rsidR="00827ABB" w:rsidRPr="00864939">
        <w:t>”</w:t>
      </w:r>
      <w:r w:rsidR="00827ABB">
        <w:t xml:space="preserve"> procedure before continuing.  Do not move onto the next step until you are certain that your “</w:t>
      </w:r>
      <w:r w:rsidR="002D2183" w:rsidRPr="00042EB4">
        <w:rPr>
          <w:i/>
        </w:rPr>
        <w:t>squareRoot</w:t>
      </w:r>
      <w:r w:rsidR="00827ABB" w:rsidRPr="002D2183">
        <w:t>”</w:t>
      </w:r>
      <w:r w:rsidR="00827ABB">
        <w:t xml:space="preserve"> procedure operates correctly.  To run the supplied unit tests for the “</w:t>
      </w:r>
      <w:r w:rsidR="00DA5CDD" w:rsidRPr="00042EB4">
        <w:rPr>
          <w:i/>
        </w:rPr>
        <w:t>squareRoot</w:t>
      </w:r>
      <w:r w:rsidR="00827ABB" w:rsidRPr="00DD5DA2">
        <w:t>”</w:t>
      </w:r>
      <w:r w:rsidR="00827ABB">
        <w:t xml:space="preserve"> procedure, open a Cygwin shell and type the following:</w:t>
      </w:r>
    </w:p>
    <w:p w14:paraId="44BDF2F8" w14:textId="4599F6E1" w:rsidR="00827ABB" w:rsidRPr="004B039E" w:rsidRDefault="00827ABB" w:rsidP="00827ABB">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795F06">
        <w:rPr>
          <w:rFonts w:ascii="Courier New" w:hAnsi="Courier New" w:cs="Courier New"/>
        </w:rPr>
        <w:t>Lab08_More_Fun_with_Floats</w:t>
      </w:r>
      <w:r w:rsidRPr="004B039E">
        <w:rPr>
          <w:rFonts w:ascii="Courier New" w:hAnsi="Courier New" w:cs="Courier New"/>
        </w:rPr>
        <w:br/>
        <w:t xml:space="preserve">make </w:t>
      </w:r>
      <w:r w:rsidR="0045661B">
        <w:rPr>
          <w:rFonts w:ascii="Courier New" w:hAnsi="Courier New" w:cs="Courier New"/>
        </w:rPr>
        <w:t>test_part1_squareRoot</w:t>
      </w:r>
    </w:p>
    <w:p w14:paraId="42DC8B45" w14:textId="6EA811F5" w:rsidR="00341D01" w:rsidRDefault="00827ABB" w:rsidP="00827ABB">
      <w:r>
        <w:t>You will see output that indicates if your procedure passed or failed the included unit tests.  If your code did NOT pass the units tests, address any errors and try running the unit tests again.</w:t>
      </w:r>
    </w:p>
    <w:p w14:paraId="40C5D991" w14:textId="3073A742" w:rsidR="00F45AD5" w:rsidRDefault="00F45AD5" w:rsidP="00827ABB">
      <w:r>
        <w:t xml:space="preserve">4.c) </w:t>
      </w:r>
      <w:r w:rsidR="00DC5A58" w:rsidRPr="00DC5A58">
        <w:t xml:space="preserve">Compute several square roots </w:t>
      </w:r>
      <w:r w:rsidR="00C054C8">
        <w:t xml:space="preserve">by changing </w:t>
      </w:r>
      <w:r w:rsidR="00C054C8" w:rsidRPr="00676A94">
        <w:rPr>
          <w:i/>
        </w:rPr>
        <w:t>n</w:t>
      </w:r>
      <w:r w:rsidR="00C054C8">
        <w:t xml:space="preserve"> in the .data section.  F</w:t>
      </w:r>
      <w:r w:rsidR="00DC5A58" w:rsidRPr="00DC5A58">
        <w:t xml:space="preserve">ill in Table </w:t>
      </w:r>
      <w:r w:rsidR="009302C7">
        <w:t>3</w:t>
      </w:r>
      <w:r w:rsidR="00DC5A58" w:rsidRPr="00DC5A58">
        <w:t xml:space="preserve"> with your results. </w:t>
      </w:r>
      <w:r w:rsidR="00CF624C">
        <w:t xml:space="preserve"> </w:t>
      </w:r>
      <w:r w:rsidR="00DC5A58" w:rsidRPr="00DC5A58">
        <w:t xml:space="preserve">For some entries in your table, try changing your </w:t>
      </w:r>
      <w:r w:rsidR="00DC5A58" w:rsidRPr="009802F1">
        <w:rPr>
          <w:i/>
        </w:rPr>
        <w:t>limit</w:t>
      </w:r>
      <w:r w:rsidR="00DC5A58" w:rsidRPr="00DC5A58">
        <w:t xml:space="preserve"> value to </w:t>
      </w:r>
      <w:r w:rsidR="002B618C">
        <w:t xml:space="preserve">0.00001 or </w:t>
      </w:r>
      <w:r w:rsidR="00DC5A58" w:rsidRPr="00DC5A58">
        <w:t>0.1 to see what happens.</w:t>
      </w:r>
    </w:p>
    <w:p w14:paraId="1426F2A4" w14:textId="77777777" w:rsidR="00D55740" w:rsidRPr="00844BCD" w:rsidRDefault="00D55740" w:rsidP="00D55740">
      <w:pPr>
        <w:pStyle w:val="Caption"/>
        <w:keepNext/>
        <w:jc w:val="center"/>
        <w:rPr>
          <w:color w:val="000000" w:themeColor="text1"/>
        </w:rPr>
      </w:pPr>
      <w:r w:rsidRPr="00844BCD">
        <w:rPr>
          <w:color w:val="000000" w:themeColor="text1"/>
        </w:rPr>
        <w:t xml:space="preserve">Table </w:t>
      </w:r>
      <w:r>
        <w:rPr>
          <w:color w:val="000000" w:themeColor="text1"/>
        </w:rPr>
        <w:t>3: Square Roots</w:t>
      </w:r>
    </w:p>
    <w:tbl>
      <w:tblPr>
        <w:tblStyle w:val="TableGrid"/>
        <w:tblW w:w="0" w:type="auto"/>
        <w:tblInd w:w="108" w:type="dxa"/>
        <w:tblLook w:val="04A0" w:firstRow="1" w:lastRow="0" w:firstColumn="1" w:lastColumn="0" w:noHBand="0" w:noVBand="1"/>
      </w:tblPr>
      <w:tblGrid>
        <w:gridCol w:w="2646"/>
        <w:gridCol w:w="2754"/>
        <w:gridCol w:w="2754"/>
        <w:gridCol w:w="2646"/>
      </w:tblGrid>
      <w:tr w:rsidR="00D55740" w14:paraId="3B4F29C0" w14:textId="77777777" w:rsidTr="00354C74">
        <w:trPr>
          <w:trHeight w:val="288"/>
        </w:trPr>
        <w:tc>
          <w:tcPr>
            <w:tcW w:w="2646" w:type="dxa"/>
            <w:tcBorders>
              <w:bottom w:val="single" w:sz="12" w:space="0" w:color="auto"/>
              <w:right w:val="single" w:sz="12" w:space="0" w:color="auto"/>
            </w:tcBorders>
            <w:vAlign w:val="center"/>
          </w:tcPr>
          <w:p w14:paraId="35372F8E" w14:textId="77777777" w:rsidR="00D55740" w:rsidRPr="00844BCD" w:rsidRDefault="00D55740" w:rsidP="00354C74">
            <w:pPr>
              <w:spacing w:after="0" w:line="240" w:lineRule="auto"/>
              <w:jc w:val="center"/>
              <w:rPr>
                <w:b/>
              </w:rPr>
            </w:pPr>
            <w:r>
              <w:rPr>
                <w:b/>
              </w:rPr>
              <w:t>N</w:t>
            </w:r>
          </w:p>
        </w:tc>
        <w:tc>
          <w:tcPr>
            <w:tcW w:w="2754" w:type="dxa"/>
            <w:tcBorders>
              <w:left w:val="single" w:sz="12" w:space="0" w:color="auto"/>
              <w:bottom w:val="single" w:sz="12" w:space="0" w:color="auto"/>
              <w:right w:val="single" w:sz="12" w:space="0" w:color="auto"/>
            </w:tcBorders>
            <w:vAlign w:val="center"/>
          </w:tcPr>
          <w:p w14:paraId="21283A59" w14:textId="77777777" w:rsidR="00D55740" w:rsidRPr="00844BCD" w:rsidRDefault="00D55740" w:rsidP="00354C74">
            <w:pPr>
              <w:spacing w:after="0" w:line="240" w:lineRule="auto"/>
              <w:jc w:val="center"/>
              <w:rPr>
                <w:b/>
              </w:rPr>
            </w:pPr>
            <w:r>
              <w:rPr>
                <w:b/>
              </w:rPr>
              <w:t>Expected Value</w:t>
            </w:r>
          </w:p>
        </w:tc>
        <w:tc>
          <w:tcPr>
            <w:tcW w:w="2754" w:type="dxa"/>
            <w:tcBorders>
              <w:left w:val="single" w:sz="12" w:space="0" w:color="auto"/>
              <w:bottom w:val="single" w:sz="12" w:space="0" w:color="auto"/>
              <w:right w:val="single" w:sz="12" w:space="0" w:color="auto"/>
            </w:tcBorders>
            <w:vAlign w:val="center"/>
          </w:tcPr>
          <w:p w14:paraId="1F53210E" w14:textId="77777777" w:rsidR="00D55740" w:rsidRPr="00844BCD" w:rsidRDefault="00D55740" w:rsidP="00354C74">
            <w:pPr>
              <w:spacing w:after="0" w:line="240" w:lineRule="auto"/>
              <w:jc w:val="center"/>
              <w:rPr>
                <w:b/>
              </w:rPr>
            </w:pPr>
            <w:r>
              <w:rPr>
                <w:b/>
              </w:rPr>
              <w:t>Limit Value</w:t>
            </w:r>
          </w:p>
        </w:tc>
        <w:tc>
          <w:tcPr>
            <w:tcW w:w="2646" w:type="dxa"/>
            <w:tcBorders>
              <w:left w:val="single" w:sz="12" w:space="0" w:color="auto"/>
              <w:bottom w:val="single" w:sz="12" w:space="0" w:color="auto"/>
            </w:tcBorders>
            <w:vAlign w:val="center"/>
          </w:tcPr>
          <w:p w14:paraId="5327DCD1" w14:textId="77777777" w:rsidR="00D55740" w:rsidRPr="00844BCD" w:rsidRDefault="00D55740" w:rsidP="00354C74">
            <w:pPr>
              <w:spacing w:after="0" w:line="240" w:lineRule="auto"/>
              <w:jc w:val="center"/>
              <w:rPr>
                <w:b/>
              </w:rPr>
            </w:pPr>
            <w:r>
              <w:rPr>
                <w:b/>
              </w:rPr>
              <w:t>Computed</w:t>
            </w:r>
            <w:r w:rsidRPr="00844BCD">
              <w:rPr>
                <w:b/>
              </w:rPr>
              <w:t xml:space="preserve"> Value</w:t>
            </w:r>
          </w:p>
        </w:tc>
      </w:tr>
      <w:tr w:rsidR="00D55740" w14:paraId="261F9F01" w14:textId="77777777" w:rsidTr="00354C74">
        <w:trPr>
          <w:trHeight w:val="216"/>
        </w:trPr>
        <w:tc>
          <w:tcPr>
            <w:tcW w:w="2646" w:type="dxa"/>
            <w:tcBorders>
              <w:top w:val="single" w:sz="12" w:space="0" w:color="auto"/>
              <w:right w:val="single" w:sz="12" w:space="0" w:color="auto"/>
            </w:tcBorders>
            <w:vAlign w:val="center"/>
          </w:tcPr>
          <w:p w14:paraId="67016CD6" w14:textId="0D535376" w:rsidR="00D55740" w:rsidRDefault="00E64CD3" w:rsidP="00354C74">
            <w:pPr>
              <w:spacing w:after="0" w:line="240" w:lineRule="auto"/>
              <w:jc w:val="center"/>
            </w:pPr>
            <w:r>
              <w:t>144.0</w:t>
            </w:r>
          </w:p>
        </w:tc>
        <w:tc>
          <w:tcPr>
            <w:tcW w:w="2754" w:type="dxa"/>
            <w:tcBorders>
              <w:top w:val="single" w:sz="12" w:space="0" w:color="auto"/>
              <w:left w:val="single" w:sz="12" w:space="0" w:color="auto"/>
              <w:right w:val="single" w:sz="12" w:space="0" w:color="auto"/>
            </w:tcBorders>
            <w:vAlign w:val="center"/>
          </w:tcPr>
          <w:p w14:paraId="3CB92F86" w14:textId="702DB210" w:rsidR="00D55740" w:rsidRDefault="004A29EB" w:rsidP="00354C74">
            <w:pPr>
              <w:spacing w:after="0" w:line="240" w:lineRule="auto"/>
              <w:jc w:val="center"/>
            </w:pPr>
            <w:r>
              <w:t>12.0</w:t>
            </w:r>
          </w:p>
        </w:tc>
        <w:tc>
          <w:tcPr>
            <w:tcW w:w="2754" w:type="dxa"/>
            <w:tcBorders>
              <w:top w:val="single" w:sz="12" w:space="0" w:color="auto"/>
              <w:left w:val="single" w:sz="12" w:space="0" w:color="auto"/>
              <w:right w:val="single" w:sz="12" w:space="0" w:color="auto"/>
            </w:tcBorders>
            <w:vAlign w:val="center"/>
          </w:tcPr>
          <w:p w14:paraId="27610318" w14:textId="057B1422" w:rsidR="00D55740" w:rsidRDefault="004A29EB" w:rsidP="00354C74">
            <w:pPr>
              <w:spacing w:after="0" w:line="240" w:lineRule="auto"/>
              <w:jc w:val="center"/>
            </w:pPr>
            <w:r>
              <w:t>0.001</w:t>
            </w:r>
          </w:p>
        </w:tc>
        <w:tc>
          <w:tcPr>
            <w:tcW w:w="2646" w:type="dxa"/>
            <w:tcBorders>
              <w:top w:val="single" w:sz="12" w:space="0" w:color="auto"/>
              <w:left w:val="single" w:sz="12" w:space="0" w:color="auto"/>
            </w:tcBorders>
            <w:vAlign w:val="center"/>
          </w:tcPr>
          <w:p w14:paraId="4FC07A46" w14:textId="131FCF7A" w:rsidR="00D55740" w:rsidRPr="00975FDE" w:rsidRDefault="006D4104" w:rsidP="00354C74">
            <w:pPr>
              <w:spacing w:after="0" w:line="240" w:lineRule="auto"/>
              <w:jc w:val="center"/>
              <w:rPr>
                <w:color w:val="0432FF"/>
              </w:rPr>
            </w:pPr>
            <w:r w:rsidRPr="006D4104">
              <w:rPr>
                <w:color w:val="0432FF"/>
              </w:rPr>
              <w:t>12.000000012408687</w:t>
            </w:r>
          </w:p>
        </w:tc>
      </w:tr>
      <w:tr w:rsidR="00D55740" w14:paraId="3C2687B4" w14:textId="77777777" w:rsidTr="00354C74">
        <w:trPr>
          <w:trHeight w:val="216"/>
        </w:trPr>
        <w:tc>
          <w:tcPr>
            <w:tcW w:w="2646" w:type="dxa"/>
            <w:tcBorders>
              <w:right w:val="single" w:sz="12" w:space="0" w:color="auto"/>
            </w:tcBorders>
            <w:vAlign w:val="center"/>
          </w:tcPr>
          <w:p w14:paraId="2623BF75" w14:textId="23DB5F7F" w:rsidR="00D55740" w:rsidRPr="00975FDE" w:rsidRDefault="006D4104" w:rsidP="00354C74">
            <w:pPr>
              <w:spacing w:after="0" w:line="240" w:lineRule="auto"/>
              <w:jc w:val="center"/>
              <w:rPr>
                <w:color w:val="0432FF"/>
              </w:rPr>
            </w:pPr>
            <w:r>
              <w:rPr>
                <w:color w:val="0432FF"/>
              </w:rPr>
              <w:t>4.0</w:t>
            </w:r>
          </w:p>
        </w:tc>
        <w:tc>
          <w:tcPr>
            <w:tcW w:w="2754" w:type="dxa"/>
            <w:tcBorders>
              <w:left w:val="single" w:sz="12" w:space="0" w:color="auto"/>
              <w:right w:val="single" w:sz="12" w:space="0" w:color="auto"/>
            </w:tcBorders>
            <w:vAlign w:val="center"/>
          </w:tcPr>
          <w:p w14:paraId="4474BA07" w14:textId="659EDB25" w:rsidR="00D55740" w:rsidRPr="00975FDE" w:rsidRDefault="006D4104" w:rsidP="00354C74">
            <w:pPr>
              <w:spacing w:after="0" w:line="240" w:lineRule="auto"/>
              <w:jc w:val="center"/>
              <w:rPr>
                <w:color w:val="0432FF"/>
              </w:rPr>
            </w:pPr>
            <w:r>
              <w:rPr>
                <w:color w:val="0432FF"/>
              </w:rPr>
              <w:t>2.0</w:t>
            </w:r>
          </w:p>
        </w:tc>
        <w:tc>
          <w:tcPr>
            <w:tcW w:w="2754" w:type="dxa"/>
            <w:tcBorders>
              <w:left w:val="single" w:sz="12" w:space="0" w:color="auto"/>
              <w:right w:val="single" w:sz="12" w:space="0" w:color="auto"/>
            </w:tcBorders>
            <w:vAlign w:val="center"/>
          </w:tcPr>
          <w:p w14:paraId="4D11862B" w14:textId="45F268B9" w:rsidR="00D55740" w:rsidRPr="00975FDE" w:rsidRDefault="006D4104" w:rsidP="00354C74">
            <w:pPr>
              <w:spacing w:after="0" w:line="240" w:lineRule="auto"/>
              <w:jc w:val="center"/>
              <w:rPr>
                <w:color w:val="0432FF"/>
              </w:rPr>
            </w:pPr>
            <w:r>
              <w:rPr>
                <w:color w:val="0432FF"/>
              </w:rPr>
              <w:t>0.01</w:t>
            </w:r>
          </w:p>
        </w:tc>
        <w:tc>
          <w:tcPr>
            <w:tcW w:w="2646" w:type="dxa"/>
            <w:tcBorders>
              <w:left w:val="single" w:sz="12" w:space="0" w:color="auto"/>
            </w:tcBorders>
            <w:vAlign w:val="center"/>
          </w:tcPr>
          <w:p w14:paraId="3455017A" w14:textId="50EADF7D" w:rsidR="00D55740" w:rsidRPr="00975FDE" w:rsidRDefault="007D6EFB" w:rsidP="00354C74">
            <w:pPr>
              <w:spacing w:after="0" w:line="240" w:lineRule="auto"/>
              <w:jc w:val="center"/>
              <w:rPr>
                <w:color w:val="0432FF"/>
              </w:rPr>
            </w:pPr>
            <w:r w:rsidRPr="007D6EFB">
              <w:rPr>
                <w:color w:val="0432FF"/>
              </w:rPr>
              <w:t>2.0000000929222947</w:t>
            </w:r>
          </w:p>
        </w:tc>
      </w:tr>
      <w:tr w:rsidR="00D55740" w14:paraId="66C9954B" w14:textId="77777777" w:rsidTr="00354C74">
        <w:trPr>
          <w:trHeight w:val="216"/>
        </w:trPr>
        <w:tc>
          <w:tcPr>
            <w:tcW w:w="2646" w:type="dxa"/>
            <w:tcBorders>
              <w:right w:val="single" w:sz="12" w:space="0" w:color="auto"/>
            </w:tcBorders>
            <w:vAlign w:val="center"/>
          </w:tcPr>
          <w:p w14:paraId="2D30CAD3" w14:textId="7005F920" w:rsidR="00D55740" w:rsidRPr="00975FDE" w:rsidRDefault="006D4104" w:rsidP="00354C74">
            <w:pPr>
              <w:spacing w:after="0" w:line="240" w:lineRule="auto"/>
              <w:jc w:val="center"/>
              <w:rPr>
                <w:color w:val="0432FF"/>
              </w:rPr>
            </w:pPr>
            <w:r>
              <w:rPr>
                <w:color w:val="0432FF"/>
              </w:rPr>
              <w:t>16.0</w:t>
            </w:r>
          </w:p>
        </w:tc>
        <w:tc>
          <w:tcPr>
            <w:tcW w:w="2754" w:type="dxa"/>
            <w:tcBorders>
              <w:left w:val="single" w:sz="12" w:space="0" w:color="auto"/>
              <w:right w:val="single" w:sz="12" w:space="0" w:color="auto"/>
            </w:tcBorders>
            <w:vAlign w:val="center"/>
          </w:tcPr>
          <w:p w14:paraId="43E1D09A" w14:textId="2BE5BC8F" w:rsidR="00D55740" w:rsidRPr="00975FDE" w:rsidRDefault="006D4104" w:rsidP="00354C74">
            <w:pPr>
              <w:spacing w:after="0" w:line="240" w:lineRule="auto"/>
              <w:jc w:val="center"/>
              <w:rPr>
                <w:color w:val="0432FF"/>
              </w:rPr>
            </w:pPr>
            <w:r>
              <w:rPr>
                <w:color w:val="0432FF"/>
              </w:rPr>
              <w:t>4.0</w:t>
            </w:r>
          </w:p>
        </w:tc>
        <w:tc>
          <w:tcPr>
            <w:tcW w:w="2754" w:type="dxa"/>
            <w:tcBorders>
              <w:left w:val="single" w:sz="12" w:space="0" w:color="auto"/>
              <w:right w:val="single" w:sz="12" w:space="0" w:color="auto"/>
            </w:tcBorders>
            <w:vAlign w:val="center"/>
          </w:tcPr>
          <w:p w14:paraId="490C7684" w14:textId="4E03224D" w:rsidR="00D55740" w:rsidRPr="00975FDE" w:rsidRDefault="006D4104" w:rsidP="00354C74">
            <w:pPr>
              <w:spacing w:after="0" w:line="240" w:lineRule="auto"/>
              <w:jc w:val="center"/>
              <w:rPr>
                <w:color w:val="0432FF"/>
              </w:rPr>
            </w:pPr>
            <w:r>
              <w:rPr>
                <w:color w:val="0432FF"/>
              </w:rPr>
              <w:t>0.00001</w:t>
            </w:r>
          </w:p>
        </w:tc>
        <w:tc>
          <w:tcPr>
            <w:tcW w:w="2646" w:type="dxa"/>
            <w:tcBorders>
              <w:left w:val="single" w:sz="12" w:space="0" w:color="auto"/>
            </w:tcBorders>
            <w:vAlign w:val="center"/>
          </w:tcPr>
          <w:p w14:paraId="7E2B863C" w14:textId="66273400" w:rsidR="00D55740" w:rsidRPr="00975FDE" w:rsidRDefault="001510E9" w:rsidP="00354C74">
            <w:pPr>
              <w:spacing w:after="0" w:line="240" w:lineRule="auto"/>
              <w:jc w:val="center"/>
              <w:rPr>
                <w:color w:val="0432FF"/>
              </w:rPr>
            </w:pPr>
            <w:r w:rsidRPr="001510E9">
              <w:rPr>
                <w:color w:val="0432FF"/>
              </w:rPr>
              <w:t>4.000000000000051</w:t>
            </w:r>
          </w:p>
        </w:tc>
      </w:tr>
      <w:tr w:rsidR="00D55740" w14:paraId="5757005A" w14:textId="77777777" w:rsidTr="00354C74">
        <w:trPr>
          <w:trHeight w:val="216"/>
        </w:trPr>
        <w:tc>
          <w:tcPr>
            <w:tcW w:w="2646" w:type="dxa"/>
            <w:tcBorders>
              <w:right w:val="single" w:sz="12" w:space="0" w:color="auto"/>
            </w:tcBorders>
            <w:vAlign w:val="center"/>
          </w:tcPr>
          <w:p w14:paraId="5E7154DB" w14:textId="3CCD2F7E" w:rsidR="00D55740" w:rsidRPr="00975FDE" w:rsidRDefault="006D4104" w:rsidP="00354C74">
            <w:pPr>
              <w:spacing w:after="0" w:line="240" w:lineRule="auto"/>
              <w:jc w:val="center"/>
              <w:rPr>
                <w:color w:val="0432FF"/>
              </w:rPr>
            </w:pPr>
            <w:r>
              <w:rPr>
                <w:color w:val="0432FF"/>
              </w:rPr>
              <w:t>4096.0</w:t>
            </w:r>
          </w:p>
        </w:tc>
        <w:tc>
          <w:tcPr>
            <w:tcW w:w="2754" w:type="dxa"/>
            <w:tcBorders>
              <w:left w:val="single" w:sz="12" w:space="0" w:color="auto"/>
              <w:right w:val="single" w:sz="12" w:space="0" w:color="auto"/>
            </w:tcBorders>
            <w:vAlign w:val="center"/>
          </w:tcPr>
          <w:p w14:paraId="3CD14401" w14:textId="64809C1D" w:rsidR="00D55740" w:rsidRPr="00975FDE" w:rsidRDefault="006D4104" w:rsidP="00354C74">
            <w:pPr>
              <w:spacing w:after="0" w:line="240" w:lineRule="auto"/>
              <w:jc w:val="center"/>
              <w:rPr>
                <w:color w:val="0432FF"/>
              </w:rPr>
            </w:pPr>
            <w:r>
              <w:rPr>
                <w:color w:val="0432FF"/>
              </w:rPr>
              <w:t>64.0</w:t>
            </w:r>
          </w:p>
        </w:tc>
        <w:tc>
          <w:tcPr>
            <w:tcW w:w="2754" w:type="dxa"/>
            <w:tcBorders>
              <w:left w:val="single" w:sz="12" w:space="0" w:color="auto"/>
              <w:right w:val="single" w:sz="12" w:space="0" w:color="auto"/>
            </w:tcBorders>
            <w:vAlign w:val="center"/>
          </w:tcPr>
          <w:p w14:paraId="432AAA29" w14:textId="191769C0" w:rsidR="00D55740" w:rsidRPr="00975FDE" w:rsidRDefault="006D4104" w:rsidP="00354C74">
            <w:pPr>
              <w:spacing w:after="0" w:line="240" w:lineRule="auto"/>
              <w:jc w:val="center"/>
              <w:rPr>
                <w:color w:val="0432FF"/>
              </w:rPr>
            </w:pPr>
            <w:r>
              <w:rPr>
                <w:color w:val="0432FF"/>
              </w:rPr>
              <w:t>0. 1</w:t>
            </w:r>
          </w:p>
        </w:tc>
        <w:tc>
          <w:tcPr>
            <w:tcW w:w="2646" w:type="dxa"/>
            <w:tcBorders>
              <w:left w:val="single" w:sz="12" w:space="0" w:color="auto"/>
            </w:tcBorders>
            <w:vAlign w:val="center"/>
          </w:tcPr>
          <w:p w14:paraId="56CED1E4" w14:textId="5B1FB7EB" w:rsidR="00D55740" w:rsidRPr="00975FDE" w:rsidRDefault="00802E21" w:rsidP="00354C74">
            <w:pPr>
              <w:spacing w:after="0" w:line="240" w:lineRule="auto"/>
              <w:jc w:val="center"/>
              <w:rPr>
                <w:color w:val="0432FF"/>
              </w:rPr>
            </w:pPr>
            <w:r w:rsidRPr="00802E21">
              <w:rPr>
                <w:color w:val="0432FF"/>
              </w:rPr>
              <w:t>64.00001438575758</w:t>
            </w:r>
            <w:bookmarkStart w:id="1" w:name="_GoBack"/>
            <w:bookmarkEnd w:id="1"/>
          </w:p>
        </w:tc>
      </w:tr>
    </w:tbl>
    <w:p w14:paraId="0928E6CD" w14:textId="309851DB" w:rsidR="00035C41" w:rsidRDefault="00035C41" w:rsidP="009C057D">
      <w:pPr>
        <w:widowControl w:val="0"/>
        <w:spacing w:line="240" w:lineRule="auto"/>
      </w:pPr>
    </w:p>
    <w:p w14:paraId="5E88FD92" w14:textId="77777777" w:rsidR="004875A3" w:rsidRDefault="004875A3" w:rsidP="009C057D">
      <w:pPr>
        <w:widowControl w:val="0"/>
        <w:spacing w:line="240" w:lineRule="auto"/>
      </w:pPr>
    </w:p>
    <w:p w14:paraId="43B56E73" w14:textId="77777777" w:rsidR="000074F4" w:rsidRPr="002C20CB" w:rsidRDefault="000074F4" w:rsidP="000074F4">
      <w:pPr>
        <w:widowControl w:val="0"/>
        <w:spacing w:line="240" w:lineRule="auto"/>
      </w:pPr>
      <w:r>
        <w:rPr>
          <w:b/>
        </w:rPr>
        <w:t>Test Your Code</w:t>
      </w:r>
    </w:p>
    <w:p w14:paraId="225B0387" w14:textId="77777777" w:rsidR="000074F4" w:rsidRDefault="000074F4" w:rsidP="000074F4">
      <w:pPr>
        <w:widowControl w:val="0"/>
        <w:spacing w:line="240" w:lineRule="auto"/>
      </w:pPr>
      <w:r>
        <w:t>Although you have already tested that various procedures above, you must still test to ensure that all of your procedures work together.  Test all of your code together using the supplied unit tests.  To run the supplied unit tests, open a Cygwin shell and type the following:</w:t>
      </w:r>
    </w:p>
    <w:p w14:paraId="18A30C0A" w14:textId="7848036C" w:rsidR="000074F4" w:rsidRPr="004B039E" w:rsidRDefault="000074F4" w:rsidP="000074F4">
      <w:pPr>
        <w:widowControl w:val="0"/>
        <w:spacing w:line="240" w:lineRule="auto"/>
        <w:ind w:left="360"/>
        <w:rPr>
          <w:rFonts w:ascii="Courier New" w:hAnsi="Courier New" w:cs="Courier New"/>
        </w:rPr>
      </w:pPr>
      <w:r w:rsidRPr="004B039E">
        <w:rPr>
          <w:rFonts w:ascii="Courier New" w:hAnsi="Courier New" w:cs="Courier New"/>
        </w:rPr>
        <w:lastRenderedPageBreak/>
        <w:t>cd h:</w:t>
      </w:r>
      <w:r w:rsidRPr="004B039E">
        <w:rPr>
          <w:rFonts w:ascii="Courier New" w:hAnsi="Courier New" w:cs="Courier New"/>
        </w:rPr>
        <w:br/>
        <w:t>cd ECE260</w:t>
      </w:r>
      <w:r>
        <w:rPr>
          <w:rFonts w:ascii="Courier New" w:hAnsi="Courier New" w:cs="Courier New"/>
        </w:rPr>
        <w:br/>
      </w:r>
      <w:r w:rsidR="00CA6B45">
        <w:rPr>
          <w:rFonts w:ascii="Courier New" w:hAnsi="Courier New" w:cs="Courier New"/>
        </w:rPr>
        <w:t xml:space="preserve">cd </w:t>
      </w:r>
      <w:r w:rsidR="00CA6B45" w:rsidRPr="00795F06">
        <w:rPr>
          <w:rFonts w:ascii="Courier New" w:hAnsi="Courier New" w:cs="Courier New"/>
        </w:rPr>
        <w:t>Lab08_More_Fun_with_Floats</w:t>
      </w:r>
      <w:r w:rsidR="00CA6B45" w:rsidRPr="004B039E">
        <w:rPr>
          <w:rFonts w:ascii="Courier New" w:hAnsi="Courier New" w:cs="Courier New"/>
        </w:rPr>
        <w:br/>
        <w:t xml:space="preserve">make </w:t>
      </w:r>
      <w:r w:rsidR="00CA6B45">
        <w:rPr>
          <w:rFonts w:ascii="Courier New" w:hAnsi="Courier New" w:cs="Courier New"/>
        </w:rPr>
        <w:t>test_part1</w:t>
      </w:r>
    </w:p>
    <w:p w14:paraId="525420AC" w14:textId="6D34E00F" w:rsidR="000E28A3" w:rsidRPr="00A910CF" w:rsidRDefault="000074F4" w:rsidP="00A910CF">
      <w:pPr>
        <w:spacing w:line="240" w:lineRule="auto"/>
        <w:rPr>
          <w:color w:val="FF0000"/>
        </w:rPr>
      </w:pPr>
      <w:r>
        <w:t>You will see output that indicates if your code passed or failed the included unit tests.  If your code did NOT pass the units tests, address any errors and try running the unit tests again.</w:t>
      </w:r>
      <w:r w:rsidR="004408DD" w:rsidRPr="00595EE8">
        <w:rPr>
          <w:color w:val="FF0000"/>
        </w:rPr>
        <w:br/>
      </w:r>
    </w:p>
    <w:p w14:paraId="7EC93CD3" w14:textId="77777777" w:rsidR="009D3646" w:rsidRPr="000E28A3" w:rsidRDefault="009D3646" w:rsidP="002101B6"/>
    <w:p w14:paraId="40313223" w14:textId="18FD621B" w:rsidR="00511FE3" w:rsidRDefault="00511FE3" w:rsidP="001C09F5">
      <w:pPr>
        <w:spacing w:line="240" w:lineRule="auto"/>
        <w:rPr>
          <w:b/>
        </w:rPr>
      </w:pPr>
      <w:r w:rsidRPr="000600E3">
        <w:rPr>
          <w:b/>
        </w:rPr>
        <w:t>4. Submission</w:t>
      </w:r>
    </w:p>
    <w:p w14:paraId="0762ECD3" w14:textId="77777777" w:rsidR="00F601AC" w:rsidRDefault="00F601AC" w:rsidP="00F601AC">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In a Cygwin window type the commands:</w:t>
      </w:r>
    </w:p>
    <w:p w14:paraId="7924202F" w14:textId="1CFE90E2" w:rsidR="00F601AC" w:rsidRPr="004B039E" w:rsidRDefault="00F601AC" w:rsidP="00F601AC">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F601AC">
        <w:rPr>
          <w:rFonts w:ascii="Courier New" w:hAnsi="Courier New" w:cs="Courier New"/>
        </w:rPr>
        <w:t>Lab08_More_Fun_with_Floats</w:t>
      </w:r>
      <w:r w:rsidRPr="004B039E">
        <w:rPr>
          <w:rFonts w:ascii="Courier New" w:hAnsi="Courier New" w:cs="Courier New"/>
        </w:rPr>
        <w:br/>
        <w:t>make submit</w:t>
      </w:r>
    </w:p>
    <w:p w14:paraId="79F39A7D" w14:textId="77777777" w:rsidR="00F601AC" w:rsidRDefault="00F601AC" w:rsidP="00F601AC">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1" w:history="1">
        <w:r w:rsidRPr="002F07D6">
          <w:rPr>
            <w:rStyle w:val="Hyperlink"/>
          </w:rPr>
          <w:t>Marmoset</w:t>
        </w:r>
      </w:hyperlink>
      <w:r w:rsidRPr="00EA3EB8">
        <w:t xml:space="preserve"> via the web to check the files you submitted to ensure they are correct.</w:t>
      </w:r>
    </w:p>
    <w:p w14:paraId="117AB183" w14:textId="77777777" w:rsidR="00F601AC" w:rsidRPr="00DC0964" w:rsidRDefault="00F601AC" w:rsidP="00F601AC">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p w14:paraId="256203AF" w14:textId="1FB53FF2" w:rsidR="00DC0964" w:rsidRPr="00DC0964" w:rsidRDefault="00DC0964" w:rsidP="00F601AC">
      <w:pPr>
        <w:spacing w:line="240" w:lineRule="auto"/>
      </w:pPr>
    </w:p>
    <w:sectPr w:rsidR="00DC0964" w:rsidRPr="00DC0964" w:rsidSect="00B72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91CA" w14:textId="77777777" w:rsidR="00000494" w:rsidRDefault="00000494" w:rsidP="009C6850">
      <w:pPr>
        <w:spacing w:after="0" w:line="240" w:lineRule="auto"/>
      </w:pPr>
      <w:r>
        <w:separator/>
      </w:r>
    </w:p>
  </w:endnote>
  <w:endnote w:type="continuationSeparator" w:id="0">
    <w:p w14:paraId="369F794D" w14:textId="77777777" w:rsidR="00000494" w:rsidRDefault="00000494" w:rsidP="009C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90A2" w14:textId="77777777" w:rsidR="00000494" w:rsidRDefault="00000494" w:rsidP="009C6850">
      <w:pPr>
        <w:spacing w:after="0" w:line="240" w:lineRule="auto"/>
      </w:pPr>
      <w:r>
        <w:separator/>
      </w:r>
    </w:p>
  </w:footnote>
  <w:footnote w:type="continuationSeparator" w:id="0">
    <w:p w14:paraId="69734B55" w14:textId="77777777" w:rsidR="00000494" w:rsidRDefault="00000494" w:rsidP="009C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B97"/>
    <w:multiLevelType w:val="hybridMultilevel"/>
    <w:tmpl w:val="346A3B14"/>
    <w:lvl w:ilvl="0" w:tplc="F56E37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B5109"/>
    <w:multiLevelType w:val="hybridMultilevel"/>
    <w:tmpl w:val="F05E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8475E"/>
    <w:multiLevelType w:val="hybridMultilevel"/>
    <w:tmpl w:val="2D10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513B2"/>
    <w:multiLevelType w:val="hybridMultilevel"/>
    <w:tmpl w:val="BAD2A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17B19"/>
    <w:multiLevelType w:val="hybridMultilevel"/>
    <w:tmpl w:val="EFA8C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B1FDB"/>
    <w:multiLevelType w:val="hybridMultilevel"/>
    <w:tmpl w:val="8D14BDB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6B4202C8"/>
    <w:multiLevelType w:val="hybridMultilevel"/>
    <w:tmpl w:val="B64A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5"/>
  </w:num>
  <w:num w:numId="5">
    <w:abstractNumId w:val="11"/>
  </w:num>
  <w:num w:numId="6">
    <w:abstractNumId w:val="12"/>
  </w:num>
  <w:num w:numId="7">
    <w:abstractNumId w:val="10"/>
  </w:num>
  <w:num w:numId="8">
    <w:abstractNumId w:val="7"/>
  </w:num>
  <w:num w:numId="9">
    <w:abstractNumId w:val="9"/>
  </w:num>
  <w:num w:numId="10">
    <w:abstractNumId w:val="0"/>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E47"/>
    <w:rsid w:val="00000494"/>
    <w:rsid w:val="00000DDD"/>
    <w:rsid w:val="00002B5A"/>
    <w:rsid w:val="00003210"/>
    <w:rsid w:val="00005BF5"/>
    <w:rsid w:val="00006D3F"/>
    <w:rsid w:val="000074F4"/>
    <w:rsid w:val="0001018E"/>
    <w:rsid w:val="0001151F"/>
    <w:rsid w:val="0001311B"/>
    <w:rsid w:val="000138B7"/>
    <w:rsid w:val="00014055"/>
    <w:rsid w:val="00016CD9"/>
    <w:rsid w:val="00021A40"/>
    <w:rsid w:val="000220F4"/>
    <w:rsid w:val="0002226D"/>
    <w:rsid w:val="00023ED6"/>
    <w:rsid w:val="000253BE"/>
    <w:rsid w:val="00025C8E"/>
    <w:rsid w:val="000267A5"/>
    <w:rsid w:val="0003158B"/>
    <w:rsid w:val="00033FFC"/>
    <w:rsid w:val="00035335"/>
    <w:rsid w:val="00035C41"/>
    <w:rsid w:val="0003645C"/>
    <w:rsid w:val="00037910"/>
    <w:rsid w:val="0004004A"/>
    <w:rsid w:val="00040D7B"/>
    <w:rsid w:val="00041FA5"/>
    <w:rsid w:val="0004215A"/>
    <w:rsid w:val="00042EB4"/>
    <w:rsid w:val="00043460"/>
    <w:rsid w:val="00043C0B"/>
    <w:rsid w:val="000443A8"/>
    <w:rsid w:val="00051265"/>
    <w:rsid w:val="0005165A"/>
    <w:rsid w:val="00051E65"/>
    <w:rsid w:val="00054762"/>
    <w:rsid w:val="00055787"/>
    <w:rsid w:val="00056AAD"/>
    <w:rsid w:val="000572C8"/>
    <w:rsid w:val="000608A6"/>
    <w:rsid w:val="00063AEF"/>
    <w:rsid w:val="000703B5"/>
    <w:rsid w:val="00071E97"/>
    <w:rsid w:val="00072EA1"/>
    <w:rsid w:val="000740A5"/>
    <w:rsid w:val="000754A5"/>
    <w:rsid w:val="00077124"/>
    <w:rsid w:val="000810D3"/>
    <w:rsid w:val="00081282"/>
    <w:rsid w:val="000818B6"/>
    <w:rsid w:val="00081C3C"/>
    <w:rsid w:val="00082E33"/>
    <w:rsid w:val="00082EED"/>
    <w:rsid w:val="0008352B"/>
    <w:rsid w:val="0008606C"/>
    <w:rsid w:val="00091634"/>
    <w:rsid w:val="00094491"/>
    <w:rsid w:val="00095238"/>
    <w:rsid w:val="00097382"/>
    <w:rsid w:val="000974D2"/>
    <w:rsid w:val="000A367F"/>
    <w:rsid w:val="000A3978"/>
    <w:rsid w:val="000A3AAD"/>
    <w:rsid w:val="000A4486"/>
    <w:rsid w:val="000A5FED"/>
    <w:rsid w:val="000A65D5"/>
    <w:rsid w:val="000A7C20"/>
    <w:rsid w:val="000B14B3"/>
    <w:rsid w:val="000B25FA"/>
    <w:rsid w:val="000B34E8"/>
    <w:rsid w:val="000B3DF6"/>
    <w:rsid w:val="000B4447"/>
    <w:rsid w:val="000B7246"/>
    <w:rsid w:val="000C1D69"/>
    <w:rsid w:val="000C3F00"/>
    <w:rsid w:val="000C4063"/>
    <w:rsid w:val="000C48E9"/>
    <w:rsid w:val="000C6284"/>
    <w:rsid w:val="000D092F"/>
    <w:rsid w:val="000D10E0"/>
    <w:rsid w:val="000D161E"/>
    <w:rsid w:val="000D2043"/>
    <w:rsid w:val="000D4E4C"/>
    <w:rsid w:val="000D5E0D"/>
    <w:rsid w:val="000D7911"/>
    <w:rsid w:val="000E0A29"/>
    <w:rsid w:val="000E28A3"/>
    <w:rsid w:val="000E38AA"/>
    <w:rsid w:val="000E49D5"/>
    <w:rsid w:val="000E6698"/>
    <w:rsid w:val="000E68A8"/>
    <w:rsid w:val="000E794F"/>
    <w:rsid w:val="000E7E1F"/>
    <w:rsid w:val="000F2167"/>
    <w:rsid w:val="000F2FD9"/>
    <w:rsid w:val="000F2FE3"/>
    <w:rsid w:val="000F4A55"/>
    <w:rsid w:val="000F4A93"/>
    <w:rsid w:val="000F64C4"/>
    <w:rsid w:val="000F6733"/>
    <w:rsid w:val="000F6D87"/>
    <w:rsid w:val="0010237B"/>
    <w:rsid w:val="00102714"/>
    <w:rsid w:val="00104C42"/>
    <w:rsid w:val="00105940"/>
    <w:rsid w:val="001077BA"/>
    <w:rsid w:val="00111460"/>
    <w:rsid w:val="00115700"/>
    <w:rsid w:val="0011753D"/>
    <w:rsid w:val="00117651"/>
    <w:rsid w:val="0012020B"/>
    <w:rsid w:val="001208D6"/>
    <w:rsid w:val="00120EEF"/>
    <w:rsid w:val="00122E3E"/>
    <w:rsid w:val="001249C6"/>
    <w:rsid w:val="001271FC"/>
    <w:rsid w:val="00127F65"/>
    <w:rsid w:val="00132E6E"/>
    <w:rsid w:val="00134208"/>
    <w:rsid w:val="00134DFD"/>
    <w:rsid w:val="00134E47"/>
    <w:rsid w:val="00134ED4"/>
    <w:rsid w:val="001357C3"/>
    <w:rsid w:val="00135F09"/>
    <w:rsid w:val="00135F62"/>
    <w:rsid w:val="00136489"/>
    <w:rsid w:val="001373BB"/>
    <w:rsid w:val="0013776F"/>
    <w:rsid w:val="0014051B"/>
    <w:rsid w:val="0014072D"/>
    <w:rsid w:val="00140F5A"/>
    <w:rsid w:val="0014352F"/>
    <w:rsid w:val="00143DFB"/>
    <w:rsid w:val="001510E9"/>
    <w:rsid w:val="001533D6"/>
    <w:rsid w:val="001550BF"/>
    <w:rsid w:val="001576B8"/>
    <w:rsid w:val="00160CED"/>
    <w:rsid w:val="00162F03"/>
    <w:rsid w:val="00163452"/>
    <w:rsid w:val="001637C3"/>
    <w:rsid w:val="00170035"/>
    <w:rsid w:val="00170742"/>
    <w:rsid w:val="0017212A"/>
    <w:rsid w:val="001746EF"/>
    <w:rsid w:val="0017604E"/>
    <w:rsid w:val="0017644D"/>
    <w:rsid w:val="00177454"/>
    <w:rsid w:val="00177688"/>
    <w:rsid w:val="00177985"/>
    <w:rsid w:val="001803AC"/>
    <w:rsid w:val="00180613"/>
    <w:rsid w:val="0018072B"/>
    <w:rsid w:val="00184F5A"/>
    <w:rsid w:val="00186E24"/>
    <w:rsid w:val="00186F5E"/>
    <w:rsid w:val="00191857"/>
    <w:rsid w:val="00191B77"/>
    <w:rsid w:val="0019438E"/>
    <w:rsid w:val="00195A7E"/>
    <w:rsid w:val="00196157"/>
    <w:rsid w:val="001A0800"/>
    <w:rsid w:val="001A1721"/>
    <w:rsid w:val="001A2671"/>
    <w:rsid w:val="001A2C1A"/>
    <w:rsid w:val="001A33A1"/>
    <w:rsid w:val="001A666D"/>
    <w:rsid w:val="001B3568"/>
    <w:rsid w:val="001B4E8D"/>
    <w:rsid w:val="001B5593"/>
    <w:rsid w:val="001B57BB"/>
    <w:rsid w:val="001C09F5"/>
    <w:rsid w:val="001C1DAB"/>
    <w:rsid w:val="001C1F75"/>
    <w:rsid w:val="001C2437"/>
    <w:rsid w:val="001C2AE8"/>
    <w:rsid w:val="001C3695"/>
    <w:rsid w:val="001C3953"/>
    <w:rsid w:val="001C536B"/>
    <w:rsid w:val="001D1CF1"/>
    <w:rsid w:val="001D2CF1"/>
    <w:rsid w:val="001D37A2"/>
    <w:rsid w:val="001D51E6"/>
    <w:rsid w:val="001D7B86"/>
    <w:rsid w:val="001E3743"/>
    <w:rsid w:val="001E3B77"/>
    <w:rsid w:val="001E70B9"/>
    <w:rsid w:val="001E7C03"/>
    <w:rsid w:val="001F131B"/>
    <w:rsid w:val="001F151E"/>
    <w:rsid w:val="001F2369"/>
    <w:rsid w:val="001F2D9C"/>
    <w:rsid w:val="001F3979"/>
    <w:rsid w:val="001F3FB1"/>
    <w:rsid w:val="001F41DE"/>
    <w:rsid w:val="001F4BD4"/>
    <w:rsid w:val="001F7938"/>
    <w:rsid w:val="00200F66"/>
    <w:rsid w:val="00204CB5"/>
    <w:rsid w:val="002053D5"/>
    <w:rsid w:val="00206B34"/>
    <w:rsid w:val="002101B6"/>
    <w:rsid w:val="00210A65"/>
    <w:rsid w:val="00210BAE"/>
    <w:rsid w:val="0021482E"/>
    <w:rsid w:val="00217798"/>
    <w:rsid w:val="00221454"/>
    <w:rsid w:val="0022163A"/>
    <w:rsid w:val="0022428D"/>
    <w:rsid w:val="00225ED8"/>
    <w:rsid w:val="00227D11"/>
    <w:rsid w:val="0023312F"/>
    <w:rsid w:val="00233F3A"/>
    <w:rsid w:val="00234C84"/>
    <w:rsid w:val="002356B7"/>
    <w:rsid w:val="00235D95"/>
    <w:rsid w:val="00237780"/>
    <w:rsid w:val="00237906"/>
    <w:rsid w:val="002407BC"/>
    <w:rsid w:val="00240A9A"/>
    <w:rsid w:val="002458C7"/>
    <w:rsid w:val="00246CA0"/>
    <w:rsid w:val="00247D0B"/>
    <w:rsid w:val="00250526"/>
    <w:rsid w:val="00252B48"/>
    <w:rsid w:val="002554DB"/>
    <w:rsid w:val="00261F17"/>
    <w:rsid w:val="002640DD"/>
    <w:rsid w:val="00264884"/>
    <w:rsid w:val="00266330"/>
    <w:rsid w:val="00266BD0"/>
    <w:rsid w:val="0026712E"/>
    <w:rsid w:val="002702DC"/>
    <w:rsid w:val="002734CD"/>
    <w:rsid w:val="002736F9"/>
    <w:rsid w:val="0027541A"/>
    <w:rsid w:val="00275F10"/>
    <w:rsid w:val="00276572"/>
    <w:rsid w:val="00282F49"/>
    <w:rsid w:val="002833EB"/>
    <w:rsid w:val="002854B3"/>
    <w:rsid w:val="0028648C"/>
    <w:rsid w:val="00290B90"/>
    <w:rsid w:val="00290D42"/>
    <w:rsid w:val="00292550"/>
    <w:rsid w:val="00295AD4"/>
    <w:rsid w:val="002963B4"/>
    <w:rsid w:val="0029689D"/>
    <w:rsid w:val="00296C36"/>
    <w:rsid w:val="002979CE"/>
    <w:rsid w:val="002A14C2"/>
    <w:rsid w:val="002A24F7"/>
    <w:rsid w:val="002A434D"/>
    <w:rsid w:val="002A5B83"/>
    <w:rsid w:val="002A6072"/>
    <w:rsid w:val="002A61CC"/>
    <w:rsid w:val="002A7710"/>
    <w:rsid w:val="002A7FAA"/>
    <w:rsid w:val="002B289F"/>
    <w:rsid w:val="002B31C0"/>
    <w:rsid w:val="002B376D"/>
    <w:rsid w:val="002B5442"/>
    <w:rsid w:val="002B618C"/>
    <w:rsid w:val="002B7303"/>
    <w:rsid w:val="002C1E99"/>
    <w:rsid w:val="002C20CB"/>
    <w:rsid w:val="002C2DBC"/>
    <w:rsid w:val="002C39DD"/>
    <w:rsid w:val="002C401E"/>
    <w:rsid w:val="002C58F4"/>
    <w:rsid w:val="002D130E"/>
    <w:rsid w:val="002D2183"/>
    <w:rsid w:val="002D3987"/>
    <w:rsid w:val="002D6606"/>
    <w:rsid w:val="002D778B"/>
    <w:rsid w:val="002E08FC"/>
    <w:rsid w:val="002E343F"/>
    <w:rsid w:val="002E68F4"/>
    <w:rsid w:val="002F5433"/>
    <w:rsid w:val="002F69B6"/>
    <w:rsid w:val="00301A2A"/>
    <w:rsid w:val="003045F5"/>
    <w:rsid w:val="003058CB"/>
    <w:rsid w:val="0031069E"/>
    <w:rsid w:val="00311DDA"/>
    <w:rsid w:val="003125CB"/>
    <w:rsid w:val="00312877"/>
    <w:rsid w:val="00312C58"/>
    <w:rsid w:val="00312DFB"/>
    <w:rsid w:val="0031438A"/>
    <w:rsid w:val="003146D4"/>
    <w:rsid w:val="0031538D"/>
    <w:rsid w:val="003155EB"/>
    <w:rsid w:val="00316CEA"/>
    <w:rsid w:val="00317189"/>
    <w:rsid w:val="00317810"/>
    <w:rsid w:val="00317E11"/>
    <w:rsid w:val="003262E1"/>
    <w:rsid w:val="00330AE9"/>
    <w:rsid w:val="0033290E"/>
    <w:rsid w:val="0033490E"/>
    <w:rsid w:val="00335318"/>
    <w:rsid w:val="00336904"/>
    <w:rsid w:val="003406A4"/>
    <w:rsid w:val="00340E77"/>
    <w:rsid w:val="00341D01"/>
    <w:rsid w:val="00342D3A"/>
    <w:rsid w:val="00343187"/>
    <w:rsid w:val="00343829"/>
    <w:rsid w:val="00346C8C"/>
    <w:rsid w:val="00351F38"/>
    <w:rsid w:val="00352274"/>
    <w:rsid w:val="003527F5"/>
    <w:rsid w:val="00352E0A"/>
    <w:rsid w:val="00352F14"/>
    <w:rsid w:val="00354C01"/>
    <w:rsid w:val="003555B7"/>
    <w:rsid w:val="00357540"/>
    <w:rsid w:val="00363210"/>
    <w:rsid w:val="00364873"/>
    <w:rsid w:val="00364D08"/>
    <w:rsid w:val="00365578"/>
    <w:rsid w:val="0037052D"/>
    <w:rsid w:val="00371DC6"/>
    <w:rsid w:val="0037536C"/>
    <w:rsid w:val="00382169"/>
    <w:rsid w:val="00383DC7"/>
    <w:rsid w:val="00383F45"/>
    <w:rsid w:val="0038408E"/>
    <w:rsid w:val="00384241"/>
    <w:rsid w:val="00384A32"/>
    <w:rsid w:val="00390039"/>
    <w:rsid w:val="00391CCC"/>
    <w:rsid w:val="00397055"/>
    <w:rsid w:val="003A0012"/>
    <w:rsid w:val="003A1654"/>
    <w:rsid w:val="003A1F6D"/>
    <w:rsid w:val="003A2D2E"/>
    <w:rsid w:val="003A2FAB"/>
    <w:rsid w:val="003A318D"/>
    <w:rsid w:val="003A443B"/>
    <w:rsid w:val="003B01A2"/>
    <w:rsid w:val="003B2125"/>
    <w:rsid w:val="003B2F43"/>
    <w:rsid w:val="003B3103"/>
    <w:rsid w:val="003B679C"/>
    <w:rsid w:val="003B6F4D"/>
    <w:rsid w:val="003B77F8"/>
    <w:rsid w:val="003C1517"/>
    <w:rsid w:val="003C1865"/>
    <w:rsid w:val="003C18CA"/>
    <w:rsid w:val="003C1A65"/>
    <w:rsid w:val="003C1F23"/>
    <w:rsid w:val="003C3007"/>
    <w:rsid w:val="003C554E"/>
    <w:rsid w:val="003C611A"/>
    <w:rsid w:val="003C6A3C"/>
    <w:rsid w:val="003C7317"/>
    <w:rsid w:val="003C7E3B"/>
    <w:rsid w:val="003D0CE6"/>
    <w:rsid w:val="003D0F6B"/>
    <w:rsid w:val="003D2A97"/>
    <w:rsid w:val="003D578F"/>
    <w:rsid w:val="003D657B"/>
    <w:rsid w:val="003D6D78"/>
    <w:rsid w:val="003E205F"/>
    <w:rsid w:val="003E3484"/>
    <w:rsid w:val="003E3956"/>
    <w:rsid w:val="003E5C87"/>
    <w:rsid w:val="003F0F2E"/>
    <w:rsid w:val="003F1693"/>
    <w:rsid w:val="003F1CE4"/>
    <w:rsid w:val="003F3790"/>
    <w:rsid w:val="003F46C3"/>
    <w:rsid w:val="003F791A"/>
    <w:rsid w:val="00400170"/>
    <w:rsid w:val="00402007"/>
    <w:rsid w:val="004033C0"/>
    <w:rsid w:val="00406126"/>
    <w:rsid w:val="00407B4E"/>
    <w:rsid w:val="00412D90"/>
    <w:rsid w:val="00413B96"/>
    <w:rsid w:val="00414E5C"/>
    <w:rsid w:val="0041517B"/>
    <w:rsid w:val="00416D40"/>
    <w:rsid w:val="00422B00"/>
    <w:rsid w:val="00423F8D"/>
    <w:rsid w:val="004243EC"/>
    <w:rsid w:val="0042586D"/>
    <w:rsid w:val="00431DFE"/>
    <w:rsid w:val="00432438"/>
    <w:rsid w:val="0043268A"/>
    <w:rsid w:val="004355C8"/>
    <w:rsid w:val="004368FA"/>
    <w:rsid w:val="004408DD"/>
    <w:rsid w:val="00441209"/>
    <w:rsid w:val="00441CD2"/>
    <w:rsid w:val="00441E10"/>
    <w:rsid w:val="00442027"/>
    <w:rsid w:val="0044537F"/>
    <w:rsid w:val="00450142"/>
    <w:rsid w:val="004508A2"/>
    <w:rsid w:val="0045661B"/>
    <w:rsid w:val="00457BCC"/>
    <w:rsid w:val="004646E7"/>
    <w:rsid w:val="004654CF"/>
    <w:rsid w:val="00466396"/>
    <w:rsid w:val="004706AD"/>
    <w:rsid w:val="00471830"/>
    <w:rsid w:val="00475937"/>
    <w:rsid w:val="00475B4E"/>
    <w:rsid w:val="00476215"/>
    <w:rsid w:val="00476859"/>
    <w:rsid w:val="00476A29"/>
    <w:rsid w:val="00480354"/>
    <w:rsid w:val="004811B0"/>
    <w:rsid w:val="00481ABD"/>
    <w:rsid w:val="004840E9"/>
    <w:rsid w:val="004854BB"/>
    <w:rsid w:val="00486B5D"/>
    <w:rsid w:val="004875A3"/>
    <w:rsid w:val="00493536"/>
    <w:rsid w:val="00495E72"/>
    <w:rsid w:val="0049764F"/>
    <w:rsid w:val="004A1BCD"/>
    <w:rsid w:val="004A29EB"/>
    <w:rsid w:val="004A336F"/>
    <w:rsid w:val="004A37FC"/>
    <w:rsid w:val="004A4DC4"/>
    <w:rsid w:val="004A5544"/>
    <w:rsid w:val="004A6F74"/>
    <w:rsid w:val="004B021C"/>
    <w:rsid w:val="004B10A9"/>
    <w:rsid w:val="004B3516"/>
    <w:rsid w:val="004B6FCD"/>
    <w:rsid w:val="004C06D6"/>
    <w:rsid w:val="004C48CB"/>
    <w:rsid w:val="004C49B8"/>
    <w:rsid w:val="004C50A6"/>
    <w:rsid w:val="004C61B8"/>
    <w:rsid w:val="004D6042"/>
    <w:rsid w:val="004D6BE2"/>
    <w:rsid w:val="004E2D1B"/>
    <w:rsid w:val="004E346E"/>
    <w:rsid w:val="004E41E5"/>
    <w:rsid w:val="004E6D95"/>
    <w:rsid w:val="004E71BD"/>
    <w:rsid w:val="004E7EB2"/>
    <w:rsid w:val="004F0434"/>
    <w:rsid w:val="004F0645"/>
    <w:rsid w:val="004F405F"/>
    <w:rsid w:val="004F4211"/>
    <w:rsid w:val="00503618"/>
    <w:rsid w:val="00505DA1"/>
    <w:rsid w:val="005113C3"/>
    <w:rsid w:val="00511908"/>
    <w:rsid w:val="00511FE3"/>
    <w:rsid w:val="0051261E"/>
    <w:rsid w:val="00514EE8"/>
    <w:rsid w:val="00516447"/>
    <w:rsid w:val="0052202A"/>
    <w:rsid w:val="0052204E"/>
    <w:rsid w:val="00522A27"/>
    <w:rsid w:val="00523276"/>
    <w:rsid w:val="00527E93"/>
    <w:rsid w:val="00530917"/>
    <w:rsid w:val="00532440"/>
    <w:rsid w:val="00535552"/>
    <w:rsid w:val="00540D1E"/>
    <w:rsid w:val="0054187C"/>
    <w:rsid w:val="005445C1"/>
    <w:rsid w:val="0054531E"/>
    <w:rsid w:val="00545CD0"/>
    <w:rsid w:val="005473C4"/>
    <w:rsid w:val="00547757"/>
    <w:rsid w:val="0055126B"/>
    <w:rsid w:val="00552832"/>
    <w:rsid w:val="00552C47"/>
    <w:rsid w:val="00554783"/>
    <w:rsid w:val="00554C3F"/>
    <w:rsid w:val="00554CD9"/>
    <w:rsid w:val="00554F6F"/>
    <w:rsid w:val="00556460"/>
    <w:rsid w:val="00556CD5"/>
    <w:rsid w:val="005647EB"/>
    <w:rsid w:val="005662C6"/>
    <w:rsid w:val="00566F8E"/>
    <w:rsid w:val="005674C6"/>
    <w:rsid w:val="00571ECF"/>
    <w:rsid w:val="00573D90"/>
    <w:rsid w:val="005753C2"/>
    <w:rsid w:val="00580DC5"/>
    <w:rsid w:val="005835AA"/>
    <w:rsid w:val="005837E7"/>
    <w:rsid w:val="00585E84"/>
    <w:rsid w:val="00587932"/>
    <w:rsid w:val="00587977"/>
    <w:rsid w:val="00587E40"/>
    <w:rsid w:val="005916AD"/>
    <w:rsid w:val="00592B76"/>
    <w:rsid w:val="00594019"/>
    <w:rsid w:val="005943FC"/>
    <w:rsid w:val="005954DC"/>
    <w:rsid w:val="00595EE8"/>
    <w:rsid w:val="00596310"/>
    <w:rsid w:val="005A0655"/>
    <w:rsid w:val="005A0D2A"/>
    <w:rsid w:val="005A3BA9"/>
    <w:rsid w:val="005A43B2"/>
    <w:rsid w:val="005A4AB2"/>
    <w:rsid w:val="005A6FAA"/>
    <w:rsid w:val="005B0B90"/>
    <w:rsid w:val="005B0EA6"/>
    <w:rsid w:val="005B13BB"/>
    <w:rsid w:val="005B2033"/>
    <w:rsid w:val="005B4F6F"/>
    <w:rsid w:val="005B6987"/>
    <w:rsid w:val="005B71FC"/>
    <w:rsid w:val="005C01CE"/>
    <w:rsid w:val="005C0AC0"/>
    <w:rsid w:val="005C2D58"/>
    <w:rsid w:val="005C4D76"/>
    <w:rsid w:val="005C60A2"/>
    <w:rsid w:val="005D327B"/>
    <w:rsid w:val="005D407F"/>
    <w:rsid w:val="005D52D7"/>
    <w:rsid w:val="005D61CE"/>
    <w:rsid w:val="005E021F"/>
    <w:rsid w:val="005E088B"/>
    <w:rsid w:val="005E0C92"/>
    <w:rsid w:val="005E62FA"/>
    <w:rsid w:val="005E65C0"/>
    <w:rsid w:val="005E70FE"/>
    <w:rsid w:val="005E7FBA"/>
    <w:rsid w:val="005F3157"/>
    <w:rsid w:val="005F39B6"/>
    <w:rsid w:val="005F3EA9"/>
    <w:rsid w:val="005F3FAB"/>
    <w:rsid w:val="005F5A9A"/>
    <w:rsid w:val="005F7C39"/>
    <w:rsid w:val="005F7FEC"/>
    <w:rsid w:val="006020DA"/>
    <w:rsid w:val="0060685F"/>
    <w:rsid w:val="00607B80"/>
    <w:rsid w:val="00613673"/>
    <w:rsid w:val="00615083"/>
    <w:rsid w:val="0061611E"/>
    <w:rsid w:val="00617B15"/>
    <w:rsid w:val="00621F38"/>
    <w:rsid w:val="00622BFE"/>
    <w:rsid w:val="00623AB4"/>
    <w:rsid w:val="00624436"/>
    <w:rsid w:val="006244E6"/>
    <w:rsid w:val="006265D9"/>
    <w:rsid w:val="00630992"/>
    <w:rsid w:val="00631A39"/>
    <w:rsid w:val="00631ECE"/>
    <w:rsid w:val="006344C5"/>
    <w:rsid w:val="006349AB"/>
    <w:rsid w:val="00634C7B"/>
    <w:rsid w:val="00635D2F"/>
    <w:rsid w:val="00637E32"/>
    <w:rsid w:val="006404C7"/>
    <w:rsid w:val="00642BFF"/>
    <w:rsid w:val="00646B20"/>
    <w:rsid w:val="0065107C"/>
    <w:rsid w:val="00651911"/>
    <w:rsid w:val="006531F9"/>
    <w:rsid w:val="006540CB"/>
    <w:rsid w:val="0065732A"/>
    <w:rsid w:val="006630CE"/>
    <w:rsid w:val="0066412F"/>
    <w:rsid w:val="00665DB1"/>
    <w:rsid w:val="00667635"/>
    <w:rsid w:val="006711C5"/>
    <w:rsid w:val="0067123C"/>
    <w:rsid w:val="00671995"/>
    <w:rsid w:val="00673BC6"/>
    <w:rsid w:val="006754E2"/>
    <w:rsid w:val="00676A94"/>
    <w:rsid w:val="00681BFD"/>
    <w:rsid w:val="00684446"/>
    <w:rsid w:val="00686BA2"/>
    <w:rsid w:val="0068747E"/>
    <w:rsid w:val="00687956"/>
    <w:rsid w:val="006956C2"/>
    <w:rsid w:val="006957B2"/>
    <w:rsid w:val="00695B17"/>
    <w:rsid w:val="0069657D"/>
    <w:rsid w:val="00697FA9"/>
    <w:rsid w:val="006A04AE"/>
    <w:rsid w:val="006A0769"/>
    <w:rsid w:val="006A1A55"/>
    <w:rsid w:val="006A3B52"/>
    <w:rsid w:val="006A3C00"/>
    <w:rsid w:val="006B33DD"/>
    <w:rsid w:val="006B4780"/>
    <w:rsid w:val="006B4AFE"/>
    <w:rsid w:val="006B5204"/>
    <w:rsid w:val="006B6ABB"/>
    <w:rsid w:val="006C776E"/>
    <w:rsid w:val="006D00A9"/>
    <w:rsid w:val="006D148B"/>
    <w:rsid w:val="006D1B42"/>
    <w:rsid w:val="006D4104"/>
    <w:rsid w:val="006D4B48"/>
    <w:rsid w:val="006D70B6"/>
    <w:rsid w:val="006D756F"/>
    <w:rsid w:val="006D79E0"/>
    <w:rsid w:val="006E040D"/>
    <w:rsid w:val="006E06ED"/>
    <w:rsid w:val="006E2EB9"/>
    <w:rsid w:val="006E6EEC"/>
    <w:rsid w:val="006F5491"/>
    <w:rsid w:val="006F6E51"/>
    <w:rsid w:val="00700D66"/>
    <w:rsid w:val="00701BFF"/>
    <w:rsid w:val="00701F80"/>
    <w:rsid w:val="007064AD"/>
    <w:rsid w:val="007076E2"/>
    <w:rsid w:val="007100B1"/>
    <w:rsid w:val="00711716"/>
    <w:rsid w:val="00711C1A"/>
    <w:rsid w:val="00712BA1"/>
    <w:rsid w:val="00715054"/>
    <w:rsid w:val="00715572"/>
    <w:rsid w:val="00715B65"/>
    <w:rsid w:val="007202B6"/>
    <w:rsid w:val="00724158"/>
    <w:rsid w:val="0072660E"/>
    <w:rsid w:val="0072788A"/>
    <w:rsid w:val="007341D7"/>
    <w:rsid w:val="00735900"/>
    <w:rsid w:val="00736200"/>
    <w:rsid w:val="00736837"/>
    <w:rsid w:val="00745501"/>
    <w:rsid w:val="00747EE1"/>
    <w:rsid w:val="00747FB8"/>
    <w:rsid w:val="0075171E"/>
    <w:rsid w:val="007557A1"/>
    <w:rsid w:val="00755A59"/>
    <w:rsid w:val="00755C8C"/>
    <w:rsid w:val="00756B0C"/>
    <w:rsid w:val="00761F8E"/>
    <w:rsid w:val="00762281"/>
    <w:rsid w:val="00762912"/>
    <w:rsid w:val="00764596"/>
    <w:rsid w:val="00767269"/>
    <w:rsid w:val="00770D98"/>
    <w:rsid w:val="007727A6"/>
    <w:rsid w:val="0077283A"/>
    <w:rsid w:val="00774895"/>
    <w:rsid w:val="0078045F"/>
    <w:rsid w:val="00780C4D"/>
    <w:rsid w:val="00781141"/>
    <w:rsid w:val="0078164D"/>
    <w:rsid w:val="00783AEE"/>
    <w:rsid w:val="00783CDA"/>
    <w:rsid w:val="00790CB5"/>
    <w:rsid w:val="00790F0F"/>
    <w:rsid w:val="0079372A"/>
    <w:rsid w:val="00793D6A"/>
    <w:rsid w:val="00795EC4"/>
    <w:rsid w:val="00795F06"/>
    <w:rsid w:val="007A1D6A"/>
    <w:rsid w:val="007A26FC"/>
    <w:rsid w:val="007A5068"/>
    <w:rsid w:val="007A5E3B"/>
    <w:rsid w:val="007A706F"/>
    <w:rsid w:val="007A72C6"/>
    <w:rsid w:val="007A7DC6"/>
    <w:rsid w:val="007B0EF7"/>
    <w:rsid w:val="007B14D0"/>
    <w:rsid w:val="007B1A1C"/>
    <w:rsid w:val="007B23A8"/>
    <w:rsid w:val="007B270A"/>
    <w:rsid w:val="007B4662"/>
    <w:rsid w:val="007B4E1E"/>
    <w:rsid w:val="007B4EBB"/>
    <w:rsid w:val="007B50D4"/>
    <w:rsid w:val="007B7F55"/>
    <w:rsid w:val="007C109D"/>
    <w:rsid w:val="007C39EF"/>
    <w:rsid w:val="007C4471"/>
    <w:rsid w:val="007D0149"/>
    <w:rsid w:val="007D12BB"/>
    <w:rsid w:val="007D177D"/>
    <w:rsid w:val="007D2043"/>
    <w:rsid w:val="007D3564"/>
    <w:rsid w:val="007D516A"/>
    <w:rsid w:val="007D67BB"/>
    <w:rsid w:val="007D6EFB"/>
    <w:rsid w:val="007D7B5D"/>
    <w:rsid w:val="007D7D92"/>
    <w:rsid w:val="007E3225"/>
    <w:rsid w:val="007E3C62"/>
    <w:rsid w:val="007E5288"/>
    <w:rsid w:val="007E5B99"/>
    <w:rsid w:val="007F0509"/>
    <w:rsid w:val="007F24B7"/>
    <w:rsid w:val="007F2B01"/>
    <w:rsid w:val="007F59B9"/>
    <w:rsid w:val="0080286C"/>
    <w:rsid w:val="00802E21"/>
    <w:rsid w:val="008060D9"/>
    <w:rsid w:val="00806837"/>
    <w:rsid w:val="00807675"/>
    <w:rsid w:val="00810666"/>
    <w:rsid w:val="00812F49"/>
    <w:rsid w:val="00821194"/>
    <w:rsid w:val="008228EE"/>
    <w:rsid w:val="0082558B"/>
    <w:rsid w:val="00826F69"/>
    <w:rsid w:val="00827175"/>
    <w:rsid w:val="00827ABB"/>
    <w:rsid w:val="00833008"/>
    <w:rsid w:val="00833136"/>
    <w:rsid w:val="008341EA"/>
    <w:rsid w:val="00834B1D"/>
    <w:rsid w:val="00835BA8"/>
    <w:rsid w:val="008373DF"/>
    <w:rsid w:val="00844BCD"/>
    <w:rsid w:val="00851C90"/>
    <w:rsid w:val="00853187"/>
    <w:rsid w:val="00855EB6"/>
    <w:rsid w:val="00856B0A"/>
    <w:rsid w:val="00860EB1"/>
    <w:rsid w:val="008621BE"/>
    <w:rsid w:val="008640D2"/>
    <w:rsid w:val="00864939"/>
    <w:rsid w:val="00865D6D"/>
    <w:rsid w:val="00866B94"/>
    <w:rsid w:val="008679EF"/>
    <w:rsid w:val="00871E61"/>
    <w:rsid w:val="00871EDE"/>
    <w:rsid w:val="0087218F"/>
    <w:rsid w:val="00873D23"/>
    <w:rsid w:val="00874E0D"/>
    <w:rsid w:val="008756C3"/>
    <w:rsid w:val="00876B19"/>
    <w:rsid w:val="00882249"/>
    <w:rsid w:val="008824AD"/>
    <w:rsid w:val="0088318E"/>
    <w:rsid w:val="008833B0"/>
    <w:rsid w:val="00884936"/>
    <w:rsid w:val="00886EF1"/>
    <w:rsid w:val="00887CD9"/>
    <w:rsid w:val="008900F4"/>
    <w:rsid w:val="008910FC"/>
    <w:rsid w:val="0089443B"/>
    <w:rsid w:val="0089454A"/>
    <w:rsid w:val="008A1CEE"/>
    <w:rsid w:val="008A33D8"/>
    <w:rsid w:val="008A360D"/>
    <w:rsid w:val="008A3E78"/>
    <w:rsid w:val="008A537B"/>
    <w:rsid w:val="008A5DD3"/>
    <w:rsid w:val="008A7D5D"/>
    <w:rsid w:val="008A7DC1"/>
    <w:rsid w:val="008B1632"/>
    <w:rsid w:val="008B25FE"/>
    <w:rsid w:val="008B35D9"/>
    <w:rsid w:val="008B3D2C"/>
    <w:rsid w:val="008B5B85"/>
    <w:rsid w:val="008C125F"/>
    <w:rsid w:val="008C2532"/>
    <w:rsid w:val="008C25A5"/>
    <w:rsid w:val="008C54D8"/>
    <w:rsid w:val="008C7908"/>
    <w:rsid w:val="008C79BF"/>
    <w:rsid w:val="008D0673"/>
    <w:rsid w:val="008D1A27"/>
    <w:rsid w:val="008D2922"/>
    <w:rsid w:val="008D522E"/>
    <w:rsid w:val="008D6569"/>
    <w:rsid w:val="008E066D"/>
    <w:rsid w:val="008E06BE"/>
    <w:rsid w:val="008E2051"/>
    <w:rsid w:val="008E2C03"/>
    <w:rsid w:val="008E3193"/>
    <w:rsid w:val="008E34F2"/>
    <w:rsid w:val="008E381B"/>
    <w:rsid w:val="008F2C5D"/>
    <w:rsid w:val="008F35A8"/>
    <w:rsid w:val="008F42A0"/>
    <w:rsid w:val="008F5A8F"/>
    <w:rsid w:val="008F710D"/>
    <w:rsid w:val="00900D4C"/>
    <w:rsid w:val="009017F8"/>
    <w:rsid w:val="00901D64"/>
    <w:rsid w:val="00902A6E"/>
    <w:rsid w:val="00902F97"/>
    <w:rsid w:val="00904EE7"/>
    <w:rsid w:val="00905D3B"/>
    <w:rsid w:val="00906C52"/>
    <w:rsid w:val="00912AF5"/>
    <w:rsid w:val="00912B66"/>
    <w:rsid w:val="0091353D"/>
    <w:rsid w:val="00917274"/>
    <w:rsid w:val="0092255D"/>
    <w:rsid w:val="009235F0"/>
    <w:rsid w:val="009238C2"/>
    <w:rsid w:val="00926767"/>
    <w:rsid w:val="009302C7"/>
    <w:rsid w:val="00932258"/>
    <w:rsid w:val="00933F3D"/>
    <w:rsid w:val="009342AE"/>
    <w:rsid w:val="00937D27"/>
    <w:rsid w:val="00937F89"/>
    <w:rsid w:val="00940612"/>
    <w:rsid w:val="009413C4"/>
    <w:rsid w:val="00945308"/>
    <w:rsid w:val="00947D8C"/>
    <w:rsid w:val="00951731"/>
    <w:rsid w:val="00953884"/>
    <w:rsid w:val="00957C6C"/>
    <w:rsid w:val="00961035"/>
    <w:rsid w:val="00962496"/>
    <w:rsid w:val="00962B4C"/>
    <w:rsid w:val="009646C4"/>
    <w:rsid w:val="00972BA4"/>
    <w:rsid w:val="009743BE"/>
    <w:rsid w:val="00975221"/>
    <w:rsid w:val="009752A8"/>
    <w:rsid w:val="00975FDE"/>
    <w:rsid w:val="00976FC1"/>
    <w:rsid w:val="009802F1"/>
    <w:rsid w:val="009808AC"/>
    <w:rsid w:val="00983C6D"/>
    <w:rsid w:val="00984FEC"/>
    <w:rsid w:val="009903E8"/>
    <w:rsid w:val="00990CB4"/>
    <w:rsid w:val="00994ECA"/>
    <w:rsid w:val="00995398"/>
    <w:rsid w:val="00995594"/>
    <w:rsid w:val="00995C76"/>
    <w:rsid w:val="009976C0"/>
    <w:rsid w:val="009A16D0"/>
    <w:rsid w:val="009A435C"/>
    <w:rsid w:val="009A4959"/>
    <w:rsid w:val="009A76A5"/>
    <w:rsid w:val="009B0DA0"/>
    <w:rsid w:val="009B4A4D"/>
    <w:rsid w:val="009C0301"/>
    <w:rsid w:val="009C057D"/>
    <w:rsid w:val="009C13F3"/>
    <w:rsid w:val="009C21A9"/>
    <w:rsid w:val="009C2F0C"/>
    <w:rsid w:val="009C3E72"/>
    <w:rsid w:val="009C55DB"/>
    <w:rsid w:val="009C6850"/>
    <w:rsid w:val="009D0DB8"/>
    <w:rsid w:val="009D3646"/>
    <w:rsid w:val="009D36D4"/>
    <w:rsid w:val="009D611A"/>
    <w:rsid w:val="009D6EF2"/>
    <w:rsid w:val="009D783D"/>
    <w:rsid w:val="009E4666"/>
    <w:rsid w:val="009E65E3"/>
    <w:rsid w:val="009E7475"/>
    <w:rsid w:val="009F4A51"/>
    <w:rsid w:val="009F5BCF"/>
    <w:rsid w:val="009F5E42"/>
    <w:rsid w:val="00A02267"/>
    <w:rsid w:val="00A02E7B"/>
    <w:rsid w:val="00A02E9B"/>
    <w:rsid w:val="00A03F61"/>
    <w:rsid w:val="00A0430C"/>
    <w:rsid w:val="00A04550"/>
    <w:rsid w:val="00A05D74"/>
    <w:rsid w:val="00A10B69"/>
    <w:rsid w:val="00A129F2"/>
    <w:rsid w:val="00A12F9C"/>
    <w:rsid w:val="00A12FC7"/>
    <w:rsid w:val="00A13739"/>
    <w:rsid w:val="00A15969"/>
    <w:rsid w:val="00A16FCF"/>
    <w:rsid w:val="00A178A4"/>
    <w:rsid w:val="00A17B09"/>
    <w:rsid w:val="00A17C48"/>
    <w:rsid w:val="00A21367"/>
    <w:rsid w:val="00A232F5"/>
    <w:rsid w:val="00A238DC"/>
    <w:rsid w:val="00A24BC4"/>
    <w:rsid w:val="00A25C3D"/>
    <w:rsid w:val="00A27E7E"/>
    <w:rsid w:val="00A30A98"/>
    <w:rsid w:val="00A3153F"/>
    <w:rsid w:val="00A36BB5"/>
    <w:rsid w:val="00A41F47"/>
    <w:rsid w:val="00A422B9"/>
    <w:rsid w:val="00A4322F"/>
    <w:rsid w:val="00A43423"/>
    <w:rsid w:val="00A461E6"/>
    <w:rsid w:val="00A4651E"/>
    <w:rsid w:val="00A46E0D"/>
    <w:rsid w:val="00A5101F"/>
    <w:rsid w:val="00A51336"/>
    <w:rsid w:val="00A51AFA"/>
    <w:rsid w:val="00A541C4"/>
    <w:rsid w:val="00A541D6"/>
    <w:rsid w:val="00A5695D"/>
    <w:rsid w:val="00A56F2B"/>
    <w:rsid w:val="00A6026E"/>
    <w:rsid w:val="00A6403F"/>
    <w:rsid w:val="00A66104"/>
    <w:rsid w:val="00A666D9"/>
    <w:rsid w:val="00A66A71"/>
    <w:rsid w:val="00A72674"/>
    <w:rsid w:val="00A75ACF"/>
    <w:rsid w:val="00A76CB3"/>
    <w:rsid w:val="00A76DE0"/>
    <w:rsid w:val="00A80E2B"/>
    <w:rsid w:val="00A84461"/>
    <w:rsid w:val="00A84BC5"/>
    <w:rsid w:val="00A853DF"/>
    <w:rsid w:val="00A85FC2"/>
    <w:rsid w:val="00A861B2"/>
    <w:rsid w:val="00A86241"/>
    <w:rsid w:val="00A86CD6"/>
    <w:rsid w:val="00A900AA"/>
    <w:rsid w:val="00A910CF"/>
    <w:rsid w:val="00A92380"/>
    <w:rsid w:val="00A942BC"/>
    <w:rsid w:val="00A96BA7"/>
    <w:rsid w:val="00A97357"/>
    <w:rsid w:val="00A97621"/>
    <w:rsid w:val="00AA0991"/>
    <w:rsid w:val="00AA3BEC"/>
    <w:rsid w:val="00AA5526"/>
    <w:rsid w:val="00AA5E9A"/>
    <w:rsid w:val="00AA776F"/>
    <w:rsid w:val="00AB07BD"/>
    <w:rsid w:val="00AB1940"/>
    <w:rsid w:val="00AB25DE"/>
    <w:rsid w:val="00AB345F"/>
    <w:rsid w:val="00AB6557"/>
    <w:rsid w:val="00AB72FF"/>
    <w:rsid w:val="00AC0D49"/>
    <w:rsid w:val="00AC0EB5"/>
    <w:rsid w:val="00AC2F4B"/>
    <w:rsid w:val="00AC32D2"/>
    <w:rsid w:val="00AC476D"/>
    <w:rsid w:val="00AC5C78"/>
    <w:rsid w:val="00AC77B9"/>
    <w:rsid w:val="00AD1EF4"/>
    <w:rsid w:val="00AD3048"/>
    <w:rsid w:val="00AD588D"/>
    <w:rsid w:val="00AD6031"/>
    <w:rsid w:val="00AE77D9"/>
    <w:rsid w:val="00AE7C1D"/>
    <w:rsid w:val="00AF3305"/>
    <w:rsid w:val="00AF3BB4"/>
    <w:rsid w:val="00AF45A2"/>
    <w:rsid w:val="00AF628C"/>
    <w:rsid w:val="00AF6B5C"/>
    <w:rsid w:val="00AF6EE1"/>
    <w:rsid w:val="00AF7BAD"/>
    <w:rsid w:val="00B0053F"/>
    <w:rsid w:val="00B03BF5"/>
    <w:rsid w:val="00B07FD3"/>
    <w:rsid w:val="00B10B6D"/>
    <w:rsid w:val="00B1187E"/>
    <w:rsid w:val="00B13BF6"/>
    <w:rsid w:val="00B167B3"/>
    <w:rsid w:val="00B16B9F"/>
    <w:rsid w:val="00B201B6"/>
    <w:rsid w:val="00B24ADA"/>
    <w:rsid w:val="00B24E28"/>
    <w:rsid w:val="00B24E57"/>
    <w:rsid w:val="00B36337"/>
    <w:rsid w:val="00B37CC7"/>
    <w:rsid w:val="00B4055F"/>
    <w:rsid w:val="00B415D2"/>
    <w:rsid w:val="00B42442"/>
    <w:rsid w:val="00B424E9"/>
    <w:rsid w:val="00B42823"/>
    <w:rsid w:val="00B47534"/>
    <w:rsid w:val="00B51A6D"/>
    <w:rsid w:val="00B52AFC"/>
    <w:rsid w:val="00B54664"/>
    <w:rsid w:val="00B61624"/>
    <w:rsid w:val="00B6434D"/>
    <w:rsid w:val="00B67440"/>
    <w:rsid w:val="00B72884"/>
    <w:rsid w:val="00B74501"/>
    <w:rsid w:val="00B7501D"/>
    <w:rsid w:val="00B76FC5"/>
    <w:rsid w:val="00B81D88"/>
    <w:rsid w:val="00B855DF"/>
    <w:rsid w:val="00B85800"/>
    <w:rsid w:val="00B902FC"/>
    <w:rsid w:val="00B91256"/>
    <w:rsid w:val="00B92250"/>
    <w:rsid w:val="00B92FED"/>
    <w:rsid w:val="00B9496D"/>
    <w:rsid w:val="00B964EB"/>
    <w:rsid w:val="00B96991"/>
    <w:rsid w:val="00B96B72"/>
    <w:rsid w:val="00B9751C"/>
    <w:rsid w:val="00BA36E9"/>
    <w:rsid w:val="00BA50C9"/>
    <w:rsid w:val="00BA5B25"/>
    <w:rsid w:val="00BA660B"/>
    <w:rsid w:val="00BA67EB"/>
    <w:rsid w:val="00BB083F"/>
    <w:rsid w:val="00BB1742"/>
    <w:rsid w:val="00BB4B37"/>
    <w:rsid w:val="00BB6B73"/>
    <w:rsid w:val="00BC0E40"/>
    <w:rsid w:val="00BC20E0"/>
    <w:rsid w:val="00BC231C"/>
    <w:rsid w:val="00BC234F"/>
    <w:rsid w:val="00BC38A4"/>
    <w:rsid w:val="00BC3CF9"/>
    <w:rsid w:val="00BD00C5"/>
    <w:rsid w:val="00BD27AD"/>
    <w:rsid w:val="00BD34CD"/>
    <w:rsid w:val="00BD5F60"/>
    <w:rsid w:val="00BE2B3E"/>
    <w:rsid w:val="00BE4CD2"/>
    <w:rsid w:val="00BE5319"/>
    <w:rsid w:val="00BE5721"/>
    <w:rsid w:val="00BE6D90"/>
    <w:rsid w:val="00BE72C9"/>
    <w:rsid w:val="00BF2675"/>
    <w:rsid w:val="00BF5946"/>
    <w:rsid w:val="00C01644"/>
    <w:rsid w:val="00C054C8"/>
    <w:rsid w:val="00C067F8"/>
    <w:rsid w:val="00C0759B"/>
    <w:rsid w:val="00C102DC"/>
    <w:rsid w:val="00C109B8"/>
    <w:rsid w:val="00C1309A"/>
    <w:rsid w:val="00C13E45"/>
    <w:rsid w:val="00C150D0"/>
    <w:rsid w:val="00C16BC0"/>
    <w:rsid w:val="00C17A12"/>
    <w:rsid w:val="00C20380"/>
    <w:rsid w:val="00C22A0A"/>
    <w:rsid w:val="00C27047"/>
    <w:rsid w:val="00C27571"/>
    <w:rsid w:val="00C3027D"/>
    <w:rsid w:val="00C41406"/>
    <w:rsid w:val="00C419AD"/>
    <w:rsid w:val="00C442AF"/>
    <w:rsid w:val="00C454ED"/>
    <w:rsid w:val="00C5027C"/>
    <w:rsid w:val="00C51AFA"/>
    <w:rsid w:val="00C51F1B"/>
    <w:rsid w:val="00C52A5C"/>
    <w:rsid w:val="00C578B1"/>
    <w:rsid w:val="00C64729"/>
    <w:rsid w:val="00C64770"/>
    <w:rsid w:val="00C654BB"/>
    <w:rsid w:val="00C660DE"/>
    <w:rsid w:val="00C66232"/>
    <w:rsid w:val="00C66C0F"/>
    <w:rsid w:val="00C706D7"/>
    <w:rsid w:val="00C73D6D"/>
    <w:rsid w:val="00C7658B"/>
    <w:rsid w:val="00C77FEC"/>
    <w:rsid w:val="00C813EA"/>
    <w:rsid w:val="00C8145E"/>
    <w:rsid w:val="00C84789"/>
    <w:rsid w:val="00C84C75"/>
    <w:rsid w:val="00C84C77"/>
    <w:rsid w:val="00C91B86"/>
    <w:rsid w:val="00C92108"/>
    <w:rsid w:val="00CA0CA6"/>
    <w:rsid w:val="00CA1CAC"/>
    <w:rsid w:val="00CA3AA2"/>
    <w:rsid w:val="00CA5255"/>
    <w:rsid w:val="00CA6B45"/>
    <w:rsid w:val="00CB00C2"/>
    <w:rsid w:val="00CB13F3"/>
    <w:rsid w:val="00CB1E85"/>
    <w:rsid w:val="00CB36A9"/>
    <w:rsid w:val="00CB4CBD"/>
    <w:rsid w:val="00CB572F"/>
    <w:rsid w:val="00CB6599"/>
    <w:rsid w:val="00CB76EB"/>
    <w:rsid w:val="00CC0462"/>
    <w:rsid w:val="00CC3068"/>
    <w:rsid w:val="00CC46C1"/>
    <w:rsid w:val="00CC69DB"/>
    <w:rsid w:val="00CC6AF6"/>
    <w:rsid w:val="00CD2504"/>
    <w:rsid w:val="00CD278B"/>
    <w:rsid w:val="00CD404B"/>
    <w:rsid w:val="00CD454A"/>
    <w:rsid w:val="00CD4B95"/>
    <w:rsid w:val="00CD7719"/>
    <w:rsid w:val="00CE09C3"/>
    <w:rsid w:val="00CE27DA"/>
    <w:rsid w:val="00CE7895"/>
    <w:rsid w:val="00CF2020"/>
    <w:rsid w:val="00CF624C"/>
    <w:rsid w:val="00CF6AFE"/>
    <w:rsid w:val="00CF7F86"/>
    <w:rsid w:val="00D00763"/>
    <w:rsid w:val="00D02014"/>
    <w:rsid w:val="00D020C0"/>
    <w:rsid w:val="00D02590"/>
    <w:rsid w:val="00D02CA2"/>
    <w:rsid w:val="00D04F89"/>
    <w:rsid w:val="00D06240"/>
    <w:rsid w:val="00D07220"/>
    <w:rsid w:val="00D0778A"/>
    <w:rsid w:val="00D07E88"/>
    <w:rsid w:val="00D13B6F"/>
    <w:rsid w:val="00D14497"/>
    <w:rsid w:val="00D14FD8"/>
    <w:rsid w:val="00D15086"/>
    <w:rsid w:val="00D1520F"/>
    <w:rsid w:val="00D15E4B"/>
    <w:rsid w:val="00D218D1"/>
    <w:rsid w:val="00D21A96"/>
    <w:rsid w:val="00D22504"/>
    <w:rsid w:val="00D2251B"/>
    <w:rsid w:val="00D263D3"/>
    <w:rsid w:val="00D26463"/>
    <w:rsid w:val="00D26BED"/>
    <w:rsid w:val="00D2756F"/>
    <w:rsid w:val="00D3181C"/>
    <w:rsid w:val="00D3386A"/>
    <w:rsid w:val="00D35534"/>
    <w:rsid w:val="00D35F33"/>
    <w:rsid w:val="00D41224"/>
    <w:rsid w:val="00D42BAB"/>
    <w:rsid w:val="00D449C9"/>
    <w:rsid w:val="00D457B0"/>
    <w:rsid w:val="00D53D66"/>
    <w:rsid w:val="00D55740"/>
    <w:rsid w:val="00D56CD2"/>
    <w:rsid w:val="00D65559"/>
    <w:rsid w:val="00D65847"/>
    <w:rsid w:val="00D65B83"/>
    <w:rsid w:val="00D661EA"/>
    <w:rsid w:val="00D7034F"/>
    <w:rsid w:val="00D706B2"/>
    <w:rsid w:val="00D7091F"/>
    <w:rsid w:val="00D70E55"/>
    <w:rsid w:val="00D72AEF"/>
    <w:rsid w:val="00D73023"/>
    <w:rsid w:val="00D76613"/>
    <w:rsid w:val="00D77705"/>
    <w:rsid w:val="00D777EA"/>
    <w:rsid w:val="00D837AF"/>
    <w:rsid w:val="00D84847"/>
    <w:rsid w:val="00D84FE4"/>
    <w:rsid w:val="00D86732"/>
    <w:rsid w:val="00D86DC9"/>
    <w:rsid w:val="00D91941"/>
    <w:rsid w:val="00D92FC6"/>
    <w:rsid w:val="00D95486"/>
    <w:rsid w:val="00D97508"/>
    <w:rsid w:val="00DA0D1D"/>
    <w:rsid w:val="00DA1075"/>
    <w:rsid w:val="00DA5CDD"/>
    <w:rsid w:val="00DA6254"/>
    <w:rsid w:val="00DB3252"/>
    <w:rsid w:val="00DB4935"/>
    <w:rsid w:val="00DC0964"/>
    <w:rsid w:val="00DC1ADD"/>
    <w:rsid w:val="00DC21A8"/>
    <w:rsid w:val="00DC4AE2"/>
    <w:rsid w:val="00DC5192"/>
    <w:rsid w:val="00DC5A58"/>
    <w:rsid w:val="00DD2442"/>
    <w:rsid w:val="00DD5DA2"/>
    <w:rsid w:val="00DD622A"/>
    <w:rsid w:val="00DE1525"/>
    <w:rsid w:val="00DE2E07"/>
    <w:rsid w:val="00DE36AA"/>
    <w:rsid w:val="00DE4391"/>
    <w:rsid w:val="00DE447B"/>
    <w:rsid w:val="00DE4C52"/>
    <w:rsid w:val="00DE6A49"/>
    <w:rsid w:val="00DF01B5"/>
    <w:rsid w:val="00DF056E"/>
    <w:rsid w:val="00DF1628"/>
    <w:rsid w:val="00DF563F"/>
    <w:rsid w:val="00DF6CD4"/>
    <w:rsid w:val="00DF7631"/>
    <w:rsid w:val="00DF7C60"/>
    <w:rsid w:val="00DF7F19"/>
    <w:rsid w:val="00E01F9B"/>
    <w:rsid w:val="00E02390"/>
    <w:rsid w:val="00E02553"/>
    <w:rsid w:val="00E03D04"/>
    <w:rsid w:val="00E043B1"/>
    <w:rsid w:val="00E053FB"/>
    <w:rsid w:val="00E06B69"/>
    <w:rsid w:val="00E10EC8"/>
    <w:rsid w:val="00E147FC"/>
    <w:rsid w:val="00E2440A"/>
    <w:rsid w:val="00E307D2"/>
    <w:rsid w:val="00E30B35"/>
    <w:rsid w:val="00E31853"/>
    <w:rsid w:val="00E3272F"/>
    <w:rsid w:val="00E35BD8"/>
    <w:rsid w:val="00E36F9C"/>
    <w:rsid w:val="00E418C3"/>
    <w:rsid w:val="00E41B95"/>
    <w:rsid w:val="00E41EE7"/>
    <w:rsid w:val="00E42A00"/>
    <w:rsid w:val="00E42D9B"/>
    <w:rsid w:val="00E43078"/>
    <w:rsid w:val="00E43D38"/>
    <w:rsid w:val="00E47098"/>
    <w:rsid w:val="00E506CC"/>
    <w:rsid w:val="00E50899"/>
    <w:rsid w:val="00E60708"/>
    <w:rsid w:val="00E62BF2"/>
    <w:rsid w:val="00E63D9B"/>
    <w:rsid w:val="00E64CD3"/>
    <w:rsid w:val="00E6678B"/>
    <w:rsid w:val="00E66792"/>
    <w:rsid w:val="00E71639"/>
    <w:rsid w:val="00E743CB"/>
    <w:rsid w:val="00E801AD"/>
    <w:rsid w:val="00E80E18"/>
    <w:rsid w:val="00E810DB"/>
    <w:rsid w:val="00E81695"/>
    <w:rsid w:val="00E8224B"/>
    <w:rsid w:val="00E844D5"/>
    <w:rsid w:val="00E84DE3"/>
    <w:rsid w:val="00E9007C"/>
    <w:rsid w:val="00E91E99"/>
    <w:rsid w:val="00E92ED8"/>
    <w:rsid w:val="00E978F7"/>
    <w:rsid w:val="00EA067C"/>
    <w:rsid w:val="00EA0AA5"/>
    <w:rsid w:val="00EA16E3"/>
    <w:rsid w:val="00EA3556"/>
    <w:rsid w:val="00EA3EB6"/>
    <w:rsid w:val="00EB1744"/>
    <w:rsid w:val="00EB2228"/>
    <w:rsid w:val="00EC17F5"/>
    <w:rsid w:val="00EC1F96"/>
    <w:rsid w:val="00EC27BF"/>
    <w:rsid w:val="00EC4623"/>
    <w:rsid w:val="00EC4FD5"/>
    <w:rsid w:val="00ED0405"/>
    <w:rsid w:val="00ED3A76"/>
    <w:rsid w:val="00ED47F8"/>
    <w:rsid w:val="00ED52B6"/>
    <w:rsid w:val="00ED5C70"/>
    <w:rsid w:val="00ED6E6F"/>
    <w:rsid w:val="00ED7287"/>
    <w:rsid w:val="00EE00D7"/>
    <w:rsid w:val="00EE1034"/>
    <w:rsid w:val="00EE12ED"/>
    <w:rsid w:val="00EE234A"/>
    <w:rsid w:val="00EE3D04"/>
    <w:rsid w:val="00EE5B71"/>
    <w:rsid w:val="00EE5F75"/>
    <w:rsid w:val="00EE72D9"/>
    <w:rsid w:val="00EF04A1"/>
    <w:rsid w:val="00EF0DD0"/>
    <w:rsid w:val="00EF2586"/>
    <w:rsid w:val="00EF6AD0"/>
    <w:rsid w:val="00EF702C"/>
    <w:rsid w:val="00F001B6"/>
    <w:rsid w:val="00F01122"/>
    <w:rsid w:val="00F0157F"/>
    <w:rsid w:val="00F101B1"/>
    <w:rsid w:val="00F14102"/>
    <w:rsid w:val="00F14562"/>
    <w:rsid w:val="00F16A1F"/>
    <w:rsid w:val="00F206FE"/>
    <w:rsid w:val="00F21717"/>
    <w:rsid w:val="00F22C84"/>
    <w:rsid w:val="00F235B5"/>
    <w:rsid w:val="00F237C9"/>
    <w:rsid w:val="00F247C7"/>
    <w:rsid w:val="00F25170"/>
    <w:rsid w:val="00F26B23"/>
    <w:rsid w:val="00F319C8"/>
    <w:rsid w:val="00F31F7A"/>
    <w:rsid w:val="00F33D0B"/>
    <w:rsid w:val="00F345E5"/>
    <w:rsid w:val="00F42C39"/>
    <w:rsid w:val="00F449EF"/>
    <w:rsid w:val="00F45AD5"/>
    <w:rsid w:val="00F5092F"/>
    <w:rsid w:val="00F51AD9"/>
    <w:rsid w:val="00F51D33"/>
    <w:rsid w:val="00F52A0F"/>
    <w:rsid w:val="00F52D25"/>
    <w:rsid w:val="00F52E80"/>
    <w:rsid w:val="00F53070"/>
    <w:rsid w:val="00F53321"/>
    <w:rsid w:val="00F53792"/>
    <w:rsid w:val="00F549C4"/>
    <w:rsid w:val="00F54A23"/>
    <w:rsid w:val="00F5616E"/>
    <w:rsid w:val="00F561A9"/>
    <w:rsid w:val="00F57BA6"/>
    <w:rsid w:val="00F601AC"/>
    <w:rsid w:val="00F623F4"/>
    <w:rsid w:val="00F64808"/>
    <w:rsid w:val="00F66BBF"/>
    <w:rsid w:val="00F70D26"/>
    <w:rsid w:val="00F71F75"/>
    <w:rsid w:val="00F73663"/>
    <w:rsid w:val="00F76318"/>
    <w:rsid w:val="00F77655"/>
    <w:rsid w:val="00F77936"/>
    <w:rsid w:val="00F80BAF"/>
    <w:rsid w:val="00F822E2"/>
    <w:rsid w:val="00F847DC"/>
    <w:rsid w:val="00F85BF8"/>
    <w:rsid w:val="00F86FEA"/>
    <w:rsid w:val="00F9022F"/>
    <w:rsid w:val="00F902E8"/>
    <w:rsid w:val="00F94FF0"/>
    <w:rsid w:val="00F971AB"/>
    <w:rsid w:val="00FA01CE"/>
    <w:rsid w:val="00FA1646"/>
    <w:rsid w:val="00FA1E37"/>
    <w:rsid w:val="00FA43F8"/>
    <w:rsid w:val="00FA52B5"/>
    <w:rsid w:val="00FA7DEE"/>
    <w:rsid w:val="00FB54D1"/>
    <w:rsid w:val="00FB54D4"/>
    <w:rsid w:val="00FB7E96"/>
    <w:rsid w:val="00FB7F1F"/>
    <w:rsid w:val="00FC18A2"/>
    <w:rsid w:val="00FC1DA1"/>
    <w:rsid w:val="00FC56D7"/>
    <w:rsid w:val="00FD288E"/>
    <w:rsid w:val="00FD33E1"/>
    <w:rsid w:val="00FD37BC"/>
    <w:rsid w:val="00FD58F5"/>
    <w:rsid w:val="00FE0682"/>
    <w:rsid w:val="00FE0A34"/>
    <w:rsid w:val="00FE279F"/>
    <w:rsid w:val="00FE33E6"/>
    <w:rsid w:val="00FE463E"/>
    <w:rsid w:val="00FE6572"/>
    <w:rsid w:val="00FE6DB3"/>
    <w:rsid w:val="00FF1D37"/>
    <w:rsid w:val="00FF2E6C"/>
    <w:rsid w:val="00FF31CC"/>
    <w:rsid w:val="00FF38DE"/>
    <w:rsid w:val="00FF3BE2"/>
    <w:rsid w:val="00FF4943"/>
    <w:rsid w:val="00FF49E3"/>
    <w:rsid w:val="00FF66C3"/>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7288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paragraph" w:styleId="FootnoteText">
    <w:name w:val="footnote text"/>
    <w:basedOn w:val="Normal"/>
    <w:link w:val="FootnoteTextChar"/>
    <w:uiPriority w:val="99"/>
    <w:semiHidden/>
    <w:unhideWhenUsed/>
    <w:rsid w:val="009C6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850"/>
    <w:rPr>
      <w:sz w:val="20"/>
      <w:szCs w:val="20"/>
    </w:rPr>
  </w:style>
  <w:style w:type="character" w:styleId="FootnoteReference">
    <w:name w:val="footnote reference"/>
    <w:basedOn w:val="DefaultParagraphFont"/>
    <w:uiPriority w:val="99"/>
    <w:semiHidden/>
    <w:unhideWhenUsed/>
    <w:rsid w:val="009C6850"/>
    <w:rPr>
      <w:vertAlign w:val="superscript"/>
    </w:rPr>
  </w:style>
  <w:style w:type="character" w:styleId="FollowedHyperlink">
    <w:name w:val="FollowedHyperlink"/>
    <w:basedOn w:val="DefaultParagraphFont"/>
    <w:uiPriority w:val="99"/>
    <w:semiHidden/>
    <w:unhideWhenUsed/>
    <w:rsid w:val="001C09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ton%27s_metho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ycp.edu/marmoset/logi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3067B-0CD1-4C84-A077-A36EF10F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7</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Quiet Pupil</cp:lastModifiedBy>
  <cp:revision>1480</cp:revision>
  <cp:lastPrinted>2016-02-15T15:59:00Z</cp:lastPrinted>
  <dcterms:created xsi:type="dcterms:W3CDTF">2016-02-08T11:48:00Z</dcterms:created>
  <dcterms:modified xsi:type="dcterms:W3CDTF">2020-04-16T18:31:00Z</dcterms:modified>
</cp:coreProperties>
</file>