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82279" w14:textId="77777777" w:rsidR="001C315C" w:rsidRPr="00F90161" w:rsidRDefault="001C315C" w:rsidP="001C315C">
      <w:r w:rsidRPr="00F90161">
        <w:rPr>
          <w:b/>
          <w:bCs/>
        </w:rPr>
        <w:t>The Corporate Problem Statement</w:t>
      </w:r>
    </w:p>
    <w:p w14:paraId="0EFF36EE" w14:textId="77777777" w:rsidR="001C315C" w:rsidRPr="00F90161" w:rsidRDefault="001C315C" w:rsidP="001C315C">
      <w:r w:rsidRPr="00F90161">
        <w:t>The problem statement acts as the foundational mechanism to align both internal stakeholders and external vendors, validating operational pain points and focusing subsequent engineering efforts on the highest-priority business outcomes. A robust problem statement must succinctly outline three key components: the current operational state, the desired future state, and the specific target dates for resolution. It identifies the specific gaps in quality, cost, time, and customer satisfaction.</w:t>
      </w:r>
    </w:p>
    <w:p w14:paraId="6FEAFA10" w14:textId="77777777" w:rsidR="001C315C" w:rsidRPr="00F90161" w:rsidRDefault="001C315C" w:rsidP="001C315C">
      <w:r w:rsidRPr="00F90161">
        <w:t>The following text represents a highly realistic problem statement document that a corporate client—referred to here as "Apex SaaS Analytics"—would present to a technology vendor. This text simulates the exact content expected within a formal corporate Word document.</w:t>
      </w:r>
    </w:p>
    <w:p w14:paraId="24881B18" w14:textId="77777777" w:rsidR="001C315C" w:rsidRPr="00F90161" w:rsidRDefault="001C315C" w:rsidP="001C315C">
      <w:r w:rsidRPr="00F90161">
        <w:pict w14:anchorId="1743BD9F">
          <v:rect id="_x0000_i1025" style="width:0;height:1.5pt" o:hralign="center" o:hrstd="t" o:hrnoshade="t" o:hr="t" fillcolor="gray" stroked="f"/>
        </w:pict>
      </w:r>
    </w:p>
    <w:p w14:paraId="1484351F" w14:textId="77777777" w:rsidR="001C315C" w:rsidRPr="00F90161" w:rsidRDefault="001C315C" w:rsidP="001C315C">
      <w:r w:rsidRPr="00F90161">
        <w:rPr>
          <w:b/>
          <w:bCs/>
        </w:rPr>
        <w:t>Document Title:</w:t>
      </w:r>
      <w:r w:rsidRPr="00F90161">
        <w:t xml:space="preserve"> Architectural Scalability, Database Multi-Tenancy, and Enterprise Security Compliance Problem Statement</w:t>
      </w:r>
    </w:p>
    <w:p w14:paraId="2EF6B217" w14:textId="77777777" w:rsidR="001C315C" w:rsidRPr="00F90161" w:rsidRDefault="001C315C" w:rsidP="001C315C">
      <w:r w:rsidRPr="00F90161">
        <w:rPr>
          <w:b/>
          <w:bCs/>
        </w:rPr>
        <w:t>Client Entity:</w:t>
      </w:r>
      <w:r w:rsidRPr="00F90161">
        <w:t xml:space="preserve"> Apex SaaS Analytics</w:t>
      </w:r>
    </w:p>
    <w:p w14:paraId="491AEF4D" w14:textId="77777777" w:rsidR="001C315C" w:rsidRPr="00F90161" w:rsidRDefault="001C315C" w:rsidP="001C315C">
      <w:r w:rsidRPr="00F90161">
        <w:rPr>
          <w:b/>
          <w:bCs/>
        </w:rPr>
        <w:t>Date of Submission:</w:t>
      </w:r>
    </w:p>
    <w:p w14:paraId="295B39BC" w14:textId="77777777" w:rsidR="001C315C" w:rsidRPr="00F90161" w:rsidRDefault="001C315C" w:rsidP="001C315C">
      <w:r w:rsidRPr="00F90161">
        <w:rPr>
          <w:b/>
          <w:bCs/>
        </w:rPr>
        <w:t>Prepared By:</w:t>
      </w:r>
      <w:r w:rsidRPr="00F90161">
        <w:t xml:space="preserve"> Office of the Chief Technology Officer (OCTO), Apex SaaS Analytics</w:t>
      </w:r>
    </w:p>
    <w:p w14:paraId="2BC2B631" w14:textId="77777777" w:rsidR="001C315C" w:rsidRPr="00F90161" w:rsidRDefault="001C315C" w:rsidP="001C315C">
      <w:r w:rsidRPr="00F90161">
        <w:rPr>
          <w:b/>
          <w:bCs/>
        </w:rPr>
        <w:t>Document Version:</w:t>
      </w:r>
      <w:r w:rsidRPr="00F90161">
        <w:t xml:space="preserve"> 1.0 (Final)</w:t>
      </w:r>
    </w:p>
    <w:p w14:paraId="67D447EC" w14:textId="77777777" w:rsidR="001C315C" w:rsidRPr="00F90161" w:rsidRDefault="001C315C" w:rsidP="001C315C">
      <w:r w:rsidRPr="00F90161">
        <w:rPr>
          <w:b/>
          <w:bCs/>
        </w:rPr>
        <w:t>1. Executive Context and Organizational Background</w:t>
      </w:r>
    </w:p>
    <w:p w14:paraId="55D80592" w14:textId="77777777" w:rsidR="001C315C" w:rsidRPr="00F90161" w:rsidRDefault="001C315C" w:rsidP="001C315C">
      <w:r w:rsidRPr="00F90161">
        <w:t>Apex SaaS Analytics operates a rapidly growing, cloud-based data visualization and business intelligence platform currently serving over four hundred mid-market retail organizations. The platform was initially launched utilizing an open-source Next.js application boilerplate to achieve rapid time-to-market. The foundational technology stack consists of Next.js (App Router), Tailwind CSS for UI components, Drizzle ORM for database interaction, a shared PostgreSQL database cluster, and Clerk for user authentication.</w:t>
      </w:r>
    </w:p>
    <w:p w14:paraId="5B5A8DE6" w14:textId="77777777" w:rsidR="001C315C" w:rsidRPr="00F90161" w:rsidRDefault="001C315C" w:rsidP="001C315C">
      <w:r w:rsidRPr="00F90161">
        <w:t>Over the preceding twelve months, our platform utilization metrics have increased by over three hundred percent. Concurrently, our go-to-market strategy has pivoted toward onboarding Tier-1 enterprise organizations. However, this aggressive growth has severely exposed the underlying technical debt and architectural limitations of our boilerplate-derived technology stack. Our existing monolithic architecture, coupled with developer-centric identity management and a shared-schema database design, is currently generating unsustainable cloud infrastructure costs, severe performance degradation during peak operational hours, and critical compliance gaps. These limitations are actively preventing the closure of enterprise procurement contracts and threatening our market position.</w:t>
      </w:r>
    </w:p>
    <w:p w14:paraId="3C02A4EB" w14:textId="77777777" w:rsidR="001C315C" w:rsidRPr="00F90161" w:rsidRDefault="001C315C" w:rsidP="001C315C">
      <w:r w:rsidRPr="00F90161">
        <w:rPr>
          <w:b/>
          <w:bCs/>
        </w:rPr>
        <w:lastRenderedPageBreak/>
        <w:t>2. Current State Analysis and Technical Bottlenecks</w:t>
      </w:r>
    </w:p>
    <w:p w14:paraId="4C7DA895" w14:textId="77777777" w:rsidR="001C315C" w:rsidRPr="00F90161" w:rsidRDefault="001C315C" w:rsidP="001C315C">
      <w:r w:rsidRPr="00F90161">
        <w:t>The platform is currently experiencing critical systemic failures across three distinct operational domains: frontend rendering performance, database resource contention, and enterprise security compliance.</w:t>
      </w:r>
    </w:p>
    <w:p w14:paraId="0BB93479" w14:textId="77777777" w:rsidR="001C315C" w:rsidRPr="00F90161" w:rsidRDefault="001C315C" w:rsidP="001C315C">
      <w:r w:rsidRPr="00F90161">
        <w:rPr>
          <w:b/>
          <w:bCs/>
        </w:rPr>
        <w:t>2.1. Frontend Rendering and Monolithic Architecture Limitations</w:t>
      </w:r>
    </w:p>
    <w:p w14:paraId="5B1EBF5A" w14:textId="77777777" w:rsidR="001C315C" w:rsidRPr="00F90161" w:rsidRDefault="001C315C" w:rsidP="001C315C">
      <w:r w:rsidRPr="00F90161">
        <w:t xml:space="preserve">The application relies heavily on Next.js Server-Side Rendering (SSR) to deliver real-time analytics dashboards. As concurrent user sessions exceed current threshold parameters, the server load associated with dynamic page generation per request results in unacceptable latency. Our infrastructure compute costs have scaled non-linearly against user growth. Attempts to utilize Static Site Generation (SSG) or Incremental Static Regeneration (ISR) have proven entirely incompatible with the high-velocity, dynamic nature of our clients' data streams, resulting in stale data presentation. Furthermore, the tight coupling of complex backend micro-processes within the frontend repository has bloated our build times, </w:t>
      </w:r>
      <w:proofErr w:type="gramStart"/>
      <w:r w:rsidRPr="00F90161">
        <w:t>causing</w:t>
      </w:r>
      <w:proofErr w:type="gramEnd"/>
      <w:r w:rsidRPr="00F90161">
        <w:t xml:space="preserve"> significant CI/CD pipeline bottlenecks and restricting the deployment velocity of our engineering teams.</w:t>
      </w:r>
    </w:p>
    <w:p w14:paraId="459FBEC8" w14:textId="77777777" w:rsidR="001C315C" w:rsidRPr="00F90161" w:rsidRDefault="001C315C" w:rsidP="001C315C">
      <w:r w:rsidRPr="00F90161">
        <w:rPr>
          <w:b/>
          <w:bCs/>
        </w:rPr>
        <w:t>2.2. Database Contention and Multi-Tenancy Failures</w:t>
      </w:r>
    </w:p>
    <w:p w14:paraId="1C66C564" w14:textId="77777777" w:rsidR="001C315C" w:rsidRPr="00F90161" w:rsidRDefault="001C315C" w:rsidP="001C315C">
      <w:r w:rsidRPr="00F90161">
        <w:t>Database performance presents an equally critical challenge. The current platform employs a "Shared Database, Shared Schema" approach to multi-tenancy, relying strictly on application-level filtering (</w:t>
      </w:r>
      <w:proofErr w:type="spellStart"/>
      <w:r w:rsidRPr="00F90161">
        <w:t>tenant_id</w:t>
      </w:r>
      <w:proofErr w:type="spellEnd"/>
      <w:r w:rsidRPr="00F90161">
        <w:t>) to isolate tenant data. As the volume of historical transactional data has reached hundreds of millions of rows, complex analytical joins orchestrated by Drizzle ORM are causing severe "noisy neighbor" effects. Intensive reporting queries initiated by one power-user tenant systematically consume the database CPU, degrading the operational performance of the entire platform and causing timeout errors for smaller clients.</w:t>
      </w:r>
    </w:p>
    <w:p w14:paraId="2DAF52CA" w14:textId="77777777" w:rsidR="001C315C" w:rsidRPr="00F90161" w:rsidRDefault="001C315C" w:rsidP="001C315C">
      <w:r w:rsidRPr="00F90161">
        <w:rPr>
          <w:b/>
          <w:bCs/>
        </w:rPr>
        <w:t>2.3. Enterprise Identity and Procurement Compliance Constraints</w:t>
      </w:r>
    </w:p>
    <w:p w14:paraId="3A07D178" w14:textId="77777777" w:rsidR="001C315C" w:rsidRPr="00F90161" w:rsidRDefault="001C315C" w:rsidP="001C315C">
      <w:r w:rsidRPr="00F90161">
        <w:t>The platform’s current Identity and Access Management (IAM) infrastructure is fundamentally incompatible with the procurement mandates of our target enterprise customers. Our existing authentication provider lacks native, highly configurable support for enterprise SAML 2.0 integrations and advanced Role-Based Access Control (RBAC) synchronization via SCIM. Consequently, we are unable to satisfy the mandatory Single Sign-On (SSO) and continuous audit logging requirements stipulated by prospective Tier-1 clients. Additionally, our current data architecture cannot guarantee the strict logical isolation required to pass standard vendor security assessments, preventing our progression toward SOC 2 Type II compliance.</w:t>
      </w:r>
    </w:p>
    <w:p w14:paraId="58FBCA60" w14:textId="77777777" w:rsidR="001C315C" w:rsidRPr="00F90161" w:rsidRDefault="001C315C" w:rsidP="001C315C">
      <w:r w:rsidRPr="00F90161">
        <w:rPr>
          <w:b/>
          <w:bCs/>
        </w:rPr>
        <w:t>3. Quantitative Impact Assessment</w:t>
      </w:r>
    </w:p>
    <w:p w14:paraId="4E8FA049" w14:textId="77777777" w:rsidR="001C315C" w:rsidRPr="00F90161" w:rsidRDefault="001C315C" w:rsidP="001C315C">
      <w:r w:rsidRPr="00F90161">
        <w:t>To clearly illustrate the degradation of service, the following table outlines the negative trajectory of our core platform metrics over the past six months:</w:t>
      </w:r>
    </w:p>
    <w:tbl>
      <w:tblPr>
        <w:tblW w:w="0" w:type="auto"/>
        <w:tblCellSpacing w:w="15" w:type="dxa"/>
        <w:tblCellMar>
          <w:left w:w="0" w:type="dxa"/>
          <w:right w:w="0" w:type="dxa"/>
        </w:tblCellMar>
        <w:tblLook w:val="04A0" w:firstRow="1" w:lastRow="0" w:firstColumn="1" w:lastColumn="0" w:noHBand="0" w:noVBand="1"/>
      </w:tblPr>
      <w:tblGrid>
        <w:gridCol w:w="3893"/>
        <w:gridCol w:w="2451"/>
        <w:gridCol w:w="1342"/>
        <w:gridCol w:w="1658"/>
      </w:tblGrid>
      <w:tr w:rsidR="001C315C" w:rsidRPr="00F90161" w14:paraId="3532993D" w14:textId="77777777" w:rsidTr="002A0DE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05016F" w14:textId="77777777" w:rsidR="001C315C" w:rsidRPr="00F90161" w:rsidRDefault="001C315C" w:rsidP="002A0DE7">
            <w:r w:rsidRPr="00F90161">
              <w:rPr>
                <w:b/>
                <w:bCs/>
              </w:rPr>
              <w:lastRenderedPageBreak/>
              <w:t>Operational Metric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14F544" w14:textId="77777777" w:rsidR="001C315C" w:rsidRPr="00F90161" w:rsidRDefault="001C315C" w:rsidP="002A0DE7">
            <w:r w:rsidRPr="00F90161">
              <w:rPr>
                <w:b/>
                <w:bCs/>
              </w:rPr>
              <w:t>State 6 Months Ago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11E195" w14:textId="77777777" w:rsidR="001C315C" w:rsidRPr="00F90161" w:rsidRDefault="001C315C" w:rsidP="002A0DE7">
            <w:r w:rsidRPr="00F90161">
              <w:rPr>
                <w:b/>
                <w:bCs/>
              </w:rPr>
              <w:t>Current State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07ED96" w14:textId="77777777" w:rsidR="001C315C" w:rsidRPr="00F90161" w:rsidRDefault="001C315C" w:rsidP="002A0DE7">
            <w:r w:rsidRPr="00F90161">
              <w:rPr>
                <w:b/>
                <w:bCs/>
              </w:rPr>
              <w:t>Target Future State</w:t>
            </w:r>
          </w:p>
        </w:tc>
      </w:tr>
      <w:tr w:rsidR="001C315C" w:rsidRPr="00F90161" w14:paraId="4AD4771C" w14:textId="77777777" w:rsidTr="002A0DE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2D9BD7" w14:textId="77777777" w:rsidR="001C315C" w:rsidRPr="00F90161" w:rsidRDefault="001C315C" w:rsidP="002A0DE7">
            <w:r w:rsidRPr="00F90161">
              <w:rPr>
                <w:b/>
                <w:bCs/>
              </w:rPr>
              <w:t>P95 Dashboard Load Time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C06968" w14:textId="77777777" w:rsidR="001C315C" w:rsidRPr="00F90161" w:rsidRDefault="001C315C" w:rsidP="002A0DE7">
            <w:r w:rsidRPr="00F90161">
              <w:t>1.2 seconds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98C6F9" w14:textId="77777777" w:rsidR="001C315C" w:rsidRPr="00F90161" w:rsidRDefault="001C315C" w:rsidP="002A0DE7">
            <w:r w:rsidRPr="00F90161">
              <w:t>4.8 seconds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16129A" w14:textId="77777777" w:rsidR="001C315C" w:rsidRPr="00F90161" w:rsidRDefault="001C315C" w:rsidP="002A0DE7">
            <w:r w:rsidRPr="00F90161">
              <w:t>&lt; 1.0 seconds</w:t>
            </w:r>
          </w:p>
        </w:tc>
      </w:tr>
      <w:tr w:rsidR="001C315C" w:rsidRPr="00F90161" w14:paraId="140C1BEF" w14:textId="77777777" w:rsidTr="002A0DE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EA4CDB" w14:textId="77777777" w:rsidR="001C315C" w:rsidRPr="00F90161" w:rsidRDefault="001C315C" w:rsidP="002A0DE7">
            <w:r w:rsidRPr="00F90161">
              <w:rPr>
                <w:b/>
                <w:bCs/>
              </w:rPr>
              <w:t>CI/CD Build &amp; Deploy Time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9345AC" w14:textId="77777777" w:rsidR="001C315C" w:rsidRPr="00F90161" w:rsidRDefault="001C315C" w:rsidP="002A0DE7">
            <w:r w:rsidRPr="00F90161">
              <w:t>8 minutes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E4C8B3" w14:textId="77777777" w:rsidR="001C315C" w:rsidRPr="00F90161" w:rsidRDefault="001C315C" w:rsidP="002A0DE7">
            <w:r w:rsidRPr="00F90161">
              <w:t>35 minutes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DF4667A" w14:textId="77777777" w:rsidR="001C315C" w:rsidRPr="00F90161" w:rsidRDefault="001C315C" w:rsidP="002A0DE7">
            <w:r w:rsidRPr="00F90161">
              <w:t>&lt; 10 minutes</w:t>
            </w:r>
          </w:p>
        </w:tc>
      </w:tr>
      <w:tr w:rsidR="001C315C" w:rsidRPr="00F90161" w14:paraId="2906249C" w14:textId="77777777" w:rsidTr="002A0DE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98497C" w14:textId="77777777" w:rsidR="001C315C" w:rsidRPr="00F90161" w:rsidRDefault="001C315C" w:rsidP="002A0DE7">
            <w:r w:rsidRPr="00F90161">
              <w:rPr>
                <w:b/>
                <w:bCs/>
              </w:rPr>
              <w:t>Monthly Cloud Infrastructure Cost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47F397" w14:textId="77777777" w:rsidR="001C315C" w:rsidRPr="00F90161" w:rsidRDefault="001C315C" w:rsidP="002A0DE7">
            <w:r w:rsidRPr="00F90161">
              <w:t>$4,500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589DA7" w14:textId="77777777" w:rsidR="001C315C" w:rsidRPr="00F90161" w:rsidRDefault="001C315C" w:rsidP="002A0DE7">
            <w:r w:rsidRPr="00F90161">
              <w:t>$18,200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9A4F98B" w14:textId="77777777" w:rsidR="001C315C" w:rsidRPr="00F90161" w:rsidRDefault="001C315C" w:rsidP="002A0DE7">
            <w:r w:rsidRPr="00F90161">
              <w:t>$8,000 (Optimized)</w:t>
            </w:r>
          </w:p>
        </w:tc>
      </w:tr>
      <w:tr w:rsidR="001C315C" w:rsidRPr="00F90161" w14:paraId="5FCBF8AF" w14:textId="77777777" w:rsidTr="002A0DE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B749B7" w14:textId="77777777" w:rsidR="001C315C" w:rsidRPr="00F90161" w:rsidRDefault="001C315C" w:rsidP="002A0DE7">
            <w:r w:rsidRPr="00F90161">
              <w:rPr>
                <w:b/>
                <w:bCs/>
              </w:rPr>
              <w:t>Enterprise Contracts Blocked by Auth/Compliance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93D189" w14:textId="77777777" w:rsidR="001C315C" w:rsidRPr="00F90161" w:rsidRDefault="001C315C" w:rsidP="002A0DE7">
            <w:r w:rsidRPr="00F90161">
              <w:t>0 (Market shift hadn't occurred)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DA6FE0" w14:textId="77777777" w:rsidR="001C315C" w:rsidRPr="00F90161" w:rsidRDefault="001C315C" w:rsidP="002A0DE7">
            <w:r w:rsidRPr="00F90161">
              <w:t>7 active deals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D02CF00" w14:textId="77777777" w:rsidR="001C315C" w:rsidRPr="00F90161" w:rsidRDefault="001C315C" w:rsidP="002A0DE7">
            <w:r w:rsidRPr="00F90161">
              <w:t>0</w:t>
            </w:r>
          </w:p>
        </w:tc>
      </w:tr>
      <w:tr w:rsidR="001C315C" w:rsidRPr="00F90161" w14:paraId="245F6E38" w14:textId="77777777" w:rsidTr="002A0DE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102891" w14:textId="77777777" w:rsidR="001C315C" w:rsidRPr="00F90161" w:rsidRDefault="001C315C" w:rsidP="002A0DE7">
            <w:r w:rsidRPr="00F90161">
              <w:rPr>
                <w:b/>
                <w:bCs/>
              </w:rPr>
              <w:t>Average DB Query Latency (Peak Hours)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F11819" w14:textId="77777777" w:rsidR="001C315C" w:rsidRPr="00F90161" w:rsidRDefault="001C315C" w:rsidP="002A0DE7">
            <w:r w:rsidRPr="00F90161">
              <w:t>120ms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362D41" w14:textId="77777777" w:rsidR="001C315C" w:rsidRPr="00F90161" w:rsidRDefault="001C315C" w:rsidP="002A0DE7">
            <w:r w:rsidRPr="00F90161">
              <w:t>850ms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72FCF8" w14:textId="77777777" w:rsidR="001C315C" w:rsidRPr="00F90161" w:rsidRDefault="001C315C" w:rsidP="002A0DE7">
            <w:r w:rsidRPr="00F90161">
              <w:t>&lt; 100ms</w:t>
            </w:r>
          </w:p>
        </w:tc>
      </w:tr>
    </w:tbl>
    <w:p w14:paraId="7C140FB0" w14:textId="77777777" w:rsidR="001C315C" w:rsidRPr="00F90161" w:rsidRDefault="001C315C" w:rsidP="001C315C">
      <w:r w:rsidRPr="00F90161">
        <w:rPr>
          <w:b/>
          <w:bCs/>
        </w:rPr>
        <w:t>4. Future State Requirements and Strategic Objectives</w:t>
      </w:r>
    </w:p>
    <w:p w14:paraId="28AADFBB" w14:textId="77777777" w:rsidR="001C315C" w:rsidRPr="00F90161" w:rsidRDefault="001C315C" w:rsidP="001C315C">
      <w:r w:rsidRPr="00F90161">
        <w:t>To successfully support our transition to the enterprise market and ensure long-term operational sustainability, Apex SaaS Analytics requires a comprehensive architectural modernization program.</w:t>
      </w:r>
    </w:p>
    <w:p w14:paraId="3E55C819" w14:textId="77777777" w:rsidR="001C315C" w:rsidRPr="00F90161" w:rsidRDefault="001C315C" w:rsidP="001C315C">
      <w:pPr>
        <w:numPr>
          <w:ilvl w:val="0"/>
          <w:numId w:val="1"/>
        </w:numPr>
      </w:pPr>
      <w:r w:rsidRPr="00F90161">
        <w:rPr>
          <w:b/>
          <w:bCs/>
        </w:rPr>
        <w:t>Architectural Decoupling:</w:t>
      </w:r>
      <w:r w:rsidRPr="00F90161">
        <w:t xml:space="preserve"> The desired future state must completely decouple the frontend user interface from backend business logic. We require a transition from our existing monolith to a domain-driven microservices architecture, allowing independent, horizontal scaling of our reporting, payment, and user management modules using lightweight API gateways.</w:t>
      </w:r>
    </w:p>
    <w:p w14:paraId="7BEA45A3" w14:textId="77777777" w:rsidR="001C315C" w:rsidRPr="00F90161" w:rsidRDefault="001C315C" w:rsidP="001C315C">
      <w:pPr>
        <w:numPr>
          <w:ilvl w:val="0"/>
          <w:numId w:val="1"/>
        </w:numPr>
      </w:pPr>
      <w:r w:rsidRPr="00F90161">
        <w:rPr>
          <w:b/>
          <w:bCs/>
        </w:rPr>
        <w:t>Database Isolation:</w:t>
      </w:r>
      <w:r w:rsidRPr="00F90161">
        <w:t xml:space="preserve"> The data architecture must be migrated to a more isolated multi-tenant model. We require the implementation of "Separate Database Schemas per Tenant" for mid-tier clients, and entirely "Separate Database Instances" for our largest </w:t>
      </w:r>
      <w:r w:rsidRPr="00F90161">
        <w:lastRenderedPageBreak/>
        <w:t>enterprise clients. This must be managed through an advanced ORM layer capable of executing highly optimized, tenant-aware routing.</w:t>
      </w:r>
    </w:p>
    <w:p w14:paraId="657E8742" w14:textId="77777777" w:rsidR="001C315C" w:rsidRPr="00F90161" w:rsidRDefault="001C315C" w:rsidP="001C315C">
      <w:pPr>
        <w:numPr>
          <w:ilvl w:val="0"/>
          <w:numId w:val="1"/>
        </w:numPr>
      </w:pPr>
      <w:r w:rsidRPr="00F90161">
        <w:rPr>
          <w:b/>
          <w:bCs/>
        </w:rPr>
        <w:t>Enterprise IAM Migration:</w:t>
      </w:r>
      <w:r w:rsidRPr="00F90161">
        <w:t xml:space="preserve"> The platform must be migrated to an enterprise-grade identity provider (e.g., Auth0 or Okta) capable of universal SAML SSO, adaptive multi-factor authentication, and granular, risk-aware access policies.</w:t>
      </w:r>
    </w:p>
    <w:p w14:paraId="4217D15C" w14:textId="77777777" w:rsidR="001C315C" w:rsidRPr="00F90161" w:rsidRDefault="001C315C" w:rsidP="001C315C">
      <w:pPr>
        <w:numPr>
          <w:ilvl w:val="0"/>
          <w:numId w:val="1"/>
        </w:numPr>
      </w:pPr>
      <w:r w:rsidRPr="00F90161">
        <w:rPr>
          <w:b/>
          <w:bCs/>
        </w:rPr>
        <w:t>Audit Readiness:</w:t>
      </w:r>
      <w:r w:rsidRPr="00F90161">
        <w:t xml:space="preserve"> All data must be verifiably encrypted both at rest and in transit, with automated key management and comprehensive audit trails to guarantee immediate readiness for SOC 2 Type II certification.</w:t>
      </w:r>
    </w:p>
    <w:p w14:paraId="26C77CDB" w14:textId="77777777" w:rsidR="001C315C" w:rsidRPr="00F90161" w:rsidRDefault="001C315C" w:rsidP="001C315C">
      <w:r w:rsidRPr="00F90161">
        <w:rPr>
          <w:b/>
          <w:bCs/>
        </w:rPr>
        <w:t>5. Target Timeline for Resolution</w:t>
      </w:r>
    </w:p>
    <w:p w14:paraId="4E0DAD82" w14:textId="77777777" w:rsidR="001C315C" w:rsidRPr="00F90161" w:rsidRDefault="001C315C" w:rsidP="001C315C">
      <w:r w:rsidRPr="00F90161">
        <w:t>Given the critical nature of these bottlenecks, Apex SaaS Analytics seeks to initiate the architectural discovery and planning phase immediately. We aim to complete the migration of the core authentication framework and the decoupling of the primary analytics service within a sixteen-week window, followed by a phased rollout of the multi-tenant database isolation strategy by the end of the current fiscal year.</w:t>
      </w:r>
    </w:p>
    <w:p w14:paraId="7DC626CB" w14:textId="77777777" w:rsidR="001C315C" w:rsidRPr="00F90161" w:rsidRDefault="001C315C" w:rsidP="001C315C">
      <w:r w:rsidRPr="00F90161">
        <w:pict w14:anchorId="1CCE3230">
          <v:rect id="_x0000_i1026" style="width:0;height:1.5pt" o:hralign="center" o:hrstd="t" o:hrnoshade="t" o:hr="t" fillcolor="gray" stroked="f"/>
        </w:pict>
      </w:r>
    </w:p>
    <w:p w14:paraId="35CB4065" w14:textId="77777777" w:rsidR="001C315C" w:rsidRPr="00F90161" w:rsidRDefault="001C315C" w:rsidP="001C315C">
      <w:pPr>
        <w:rPr>
          <w:b/>
          <w:bCs/>
        </w:rPr>
      </w:pPr>
      <w:r w:rsidRPr="00F90161">
        <w:rPr>
          <w:b/>
          <w:bCs/>
        </w:rPr>
        <w:t>Architectural Evaluation and Solution Engineering</w:t>
      </w:r>
    </w:p>
    <w:p w14:paraId="517225E7" w14:textId="77777777" w:rsidR="001C315C" w:rsidRPr="00F90161" w:rsidRDefault="001C315C" w:rsidP="001C315C">
      <w:r w:rsidRPr="00F90161">
        <w:t>Upon receiving the aforementioned problem statement, the vendor's project management and enterprise architecture teams must engage in a rigorous evaluation of the proposed technological shift. The vendor's response cannot be a generic acknowledgment; it must reflect a deep, nuanced understanding of enterprise SaaS mechanics, scalability paradigms, and cloud security frameworks.</w:t>
      </w:r>
    </w:p>
    <w:p w14:paraId="2324E623" w14:textId="77777777" w:rsidR="001C315C" w:rsidRPr="00F90161" w:rsidRDefault="001C315C" w:rsidP="001C315C">
      <w:pPr>
        <w:rPr>
          <w:b/>
          <w:bCs/>
        </w:rPr>
      </w:pPr>
      <w:r w:rsidRPr="00F90161">
        <w:rPr>
          <w:b/>
          <w:bCs/>
        </w:rPr>
        <w:t>The Monolith to Microservices Paradigm Shift</w:t>
      </w:r>
    </w:p>
    <w:p w14:paraId="599D90AC" w14:textId="77777777" w:rsidR="001C315C" w:rsidRPr="00F90161" w:rsidRDefault="001C315C" w:rsidP="001C315C">
      <w:r w:rsidRPr="00F90161">
        <w:t>The vendor must objectively analyze the client's request to dismantle the Next.js monolith. While monolithic applications are highly advantageous during the initial phases of a company—allowing rapid deployment of a single codebase and simplified end-to-end testing—they become severe liabilities when an application grows too large. In a monolith, making a small change in a single function requires compiling and testing the entire platform, directly causing the 35-minute build times cited in the client's problem statement.</w:t>
      </w:r>
    </w:p>
    <w:p w14:paraId="0CC40D06" w14:textId="77777777" w:rsidR="001C315C" w:rsidRPr="00F90161" w:rsidRDefault="001C315C" w:rsidP="001C315C">
      <w:r w:rsidRPr="00F90161">
        <w:t xml:space="preserve">The transition to a microservices architecture directly addresses these scalability bottlenecks. By utilizing a decoupled approach, the frontend can be optimized purely for presentation, while distinct backend microservices—each possessing their own business logic and isolated databases—handle specific goals. If the client's analytics engine is experiencing high load, the architecture allows the specific "Analytics Service" to be scaled independently without </w:t>
      </w:r>
      <w:r w:rsidRPr="00F90161">
        <w:lastRenderedPageBreak/>
        <w:t>unnecessarily duplicating the "User Profile Service". This separation of concerns significantly improves resilience; a failure or memory leak in the analytics module will no longer cause the entire application to crash.</w:t>
      </w:r>
    </w:p>
    <w:p w14:paraId="5834604B" w14:textId="77777777" w:rsidR="001C315C" w:rsidRPr="00F90161" w:rsidRDefault="001C315C" w:rsidP="001C315C">
      <w:pPr>
        <w:rPr>
          <w:b/>
          <w:bCs/>
        </w:rPr>
      </w:pPr>
      <w:r w:rsidRPr="00F90161">
        <w:rPr>
          <w:b/>
          <w:bCs/>
        </w:rPr>
        <w:t>Solving the Multi-Tenant Database Conundrum</w:t>
      </w:r>
    </w:p>
    <w:p w14:paraId="6C5EF12A" w14:textId="77777777" w:rsidR="001C315C" w:rsidRPr="00F90161" w:rsidRDefault="001C315C" w:rsidP="001C315C">
      <w:r w:rsidRPr="00F90161">
        <w:t>To eliminate the "noisy neighbor" effect, the vendor must design a robust database migration strategy. The client currently utilizes a shared schema, which is highly cost-effective but limits vertical scaling and complicates permissions. The optimal solution is the implementation of a "Shared Database, Separate Schemas" model for standard clients, and a "Separate Database per Tenant" approach for enterprise entities.</w:t>
      </w:r>
    </w:p>
    <w:p w14:paraId="1156C2E2" w14:textId="77777777" w:rsidR="001C315C" w:rsidRPr="00F90161" w:rsidRDefault="001C315C" w:rsidP="001C315C">
      <w:r w:rsidRPr="00F90161">
        <w:t>To achieve this without rewriting the entire data access layer, the vendor will propose advanced utilization of the client's existing Drizzle ORM. Drizzle can be configured to execute dynamic query path resolution, utilizing prepared statements to route database operations to the correct tenant schema based on the authentication context. This strategy provides the stringent logical data isolation required by enterprise compliance frameworks while maintaining the highly optimized SQL generation necessary for real-time analytics.</w:t>
      </w:r>
    </w:p>
    <w:p w14:paraId="487F1DDC" w14:textId="77777777" w:rsidR="001C315C" w:rsidRPr="00F90161" w:rsidRDefault="001C315C" w:rsidP="001C315C">
      <w:pPr>
        <w:rPr>
          <w:b/>
          <w:bCs/>
        </w:rPr>
      </w:pPr>
      <w:r w:rsidRPr="00F90161">
        <w:rPr>
          <w:b/>
          <w:bCs/>
        </w:rPr>
        <w:t>Orchestrating the Auth0 Enterprise Identity Migration</w:t>
      </w:r>
    </w:p>
    <w:p w14:paraId="4FA95EE2" w14:textId="77777777" w:rsidR="001C315C" w:rsidRPr="00F90161" w:rsidRDefault="001C315C" w:rsidP="001C315C">
      <w:r w:rsidRPr="00F90161">
        <w:t>The migration from Clerk to Auth0 represents a critical pivot toward enterprise readiness. While Clerk excels as a developer-first tool, Auth0 provides deep Identity and Access Management (IAM) controls explicitly designed for enterprise integration. The vendor's engineering teams must map the complex technical requirements of establishing Service Provider (SP) configurations. This involves migrating user records, setting up Global Token Revocation, and configuring Auth0 Actions to seamlessly map tenant IDs to user sessions.</w:t>
      </w:r>
    </w:p>
    <w:p w14:paraId="2FA9D566" w14:textId="77777777" w:rsidR="001C315C" w:rsidRPr="00F90161" w:rsidRDefault="001C315C" w:rsidP="001C315C">
      <w:r w:rsidRPr="00F90161">
        <w:t>Crucially, the vendor must facilitate the client's ability to offer SAML 2.0 SSO to their end customers. This requires building a technical workflow where the SaaS platform provides each enterprise customer with a unique Single Sign-On URL and Audience URI (SP Entity ID), which the customer then inputs into their internal Active Directory or Okta dashboard. This establishes a cryptographic trust relationship, allowing enterprise employees to access the SaaS platform using their corporate credentials.</w:t>
      </w:r>
    </w:p>
    <w:p w14:paraId="17F33B6E" w14:textId="77777777" w:rsidR="001C315C" w:rsidRDefault="001C315C"/>
    <w:sectPr w:rsidR="001C315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84EE9"/>
    <w:multiLevelType w:val="multilevel"/>
    <w:tmpl w:val="0B8C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4405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15C"/>
    <w:rsid w:val="001C315C"/>
    <w:rsid w:val="004322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D0887"/>
  <w15:chartTrackingRefBased/>
  <w15:docId w15:val="{194F645A-6339-4F04-96A9-C36EF157B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315C"/>
  </w:style>
  <w:style w:type="paragraph" w:styleId="Heading1">
    <w:name w:val="heading 1"/>
    <w:basedOn w:val="Normal"/>
    <w:next w:val="Normal"/>
    <w:link w:val="Heading1Char"/>
    <w:uiPriority w:val="9"/>
    <w:qFormat/>
    <w:rsid w:val="001C31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31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31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31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31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31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1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1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1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1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31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31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31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31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31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1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1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15C"/>
    <w:rPr>
      <w:rFonts w:eastAsiaTheme="majorEastAsia" w:cstheme="majorBidi"/>
      <w:color w:val="272727" w:themeColor="text1" w:themeTint="D8"/>
    </w:rPr>
  </w:style>
  <w:style w:type="paragraph" w:styleId="Title">
    <w:name w:val="Title"/>
    <w:basedOn w:val="Normal"/>
    <w:next w:val="Normal"/>
    <w:link w:val="TitleChar"/>
    <w:uiPriority w:val="10"/>
    <w:qFormat/>
    <w:rsid w:val="001C31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1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1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1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15C"/>
    <w:pPr>
      <w:spacing w:before="160"/>
      <w:jc w:val="center"/>
    </w:pPr>
    <w:rPr>
      <w:i/>
      <w:iCs/>
      <w:color w:val="404040" w:themeColor="text1" w:themeTint="BF"/>
    </w:rPr>
  </w:style>
  <w:style w:type="character" w:customStyle="1" w:styleId="QuoteChar">
    <w:name w:val="Quote Char"/>
    <w:basedOn w:val="DefaultParagraphFont"/>
    <w:link w:val="Quote"/>
    <w:uiPriority w:val="29"/>
    <w:rsid w:val="001C315C"/>
    <w:rPr>
      <w:i/>
      <w:iCs/>
      <w:color w:val="404040" w:themeColor="text1" w:themeTint="BF"/>
    </w:rPr>
  </w:style>
  <w:style w:type="paragraph" w:styleId="ListParagraph">
    <w:name w:val="List Paragraph"/>
    <w:basedOn w:val="Normal"/>
    <w:uiPriority w:val="34"/>
    <w:qFormat/>
    <w:rsid w:val="001C315C"/>
    <w:pPr>
      <w:ind w:left="720"/>
      <w:contextualSpacing/>
    </w:pPr>
  </w:style>
  <w:style w:type="character" w:styleId="IntenseEmphasis">
    <w:name w:val="Intense Emphasis"/>
    <w:basedOn w:val="DefaultParagraphFont"/>
    <w:uiPriority w:val="21"/>
    <w:qFormat/>
    <w:rsid w:val="001C315C"/>
    <w:rPr>
      <w:i/>
      <w:iCs/>
      <w:color w:val="2F5496" w:themeColor="accent1" w:themeShade="BF"/>
    </w:rPr>
  </w:style>
  <w:style w:type="paragraph" w:styleId="IntenseQuote">
    <w:name w:val="Intense Quote"/>
    <w:basedOn w:val="Normal"/>
    <w:next w:val="Normal"/>
    <w:link w:val="IntenseQuoteChar"/>
    <w:uiPriority w:val="30"/>
    <w:qFormat/>
    <w:rsid w:val="001C31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315C"/>
    <w:rPr>
      <w:i/>
      <w:iCs/>
      <w:color w:val="2F5496" w:themeColor="accent1" w:themeShade="BF"/>
    </w:rPr>
  </w:style>
  <w:style w:type="character" w:styleId="IntenseReference">
    <w:name w:val="Intense Reference"/>
    <w:basedOn w:val="DefaultParagraphFont"/>
    <w:uiPriority w:val="32"/>
    <w:qFormat/>
    <w:rsid w:val="001C315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1692</Words>
  <Characters>9649</Characters>
  <Application>Microsoft Office Word</Application>
  <DocSecurity>0</DocSecurity>
  <Lines>80</Lines>
  <Paragraphs>22</Paragraphs>
  <ScaleCrop>false</ScaleCrop>
  <Company/>
  <LinksUpToDate>false</LinksUpToDate>
  <CharactersWithSpaces>11319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Credencys Solutions</dc:creator>
  <cp:keywords/>
  <dc:description/>
  <cp:lastModifiedBy>Credencys Solutions</cp:lastModifiedBy>
  <cp:revision>1</cp:revision>
  <dcterms:created xsi:type="dcterms:W3CDTF">2026-03-17T07:02:00Z</dcterms:created>
  <dcterms:modified xsi:type="dcterms:W3CDTF">2026-03-17T07:03:00Z</dcterms:modified>
</cp:coreProperties>
</file>