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F09E0" w14:textId="137820FC" w:rsidR="00F90161" w:rsidRPr="00F90161" w:rsidRDefault="00F90161" w:rsidP="00F90161">
      <w:pPr>
        <w:rPr>
          <w:b/>
          <w:bCs/>
        </w:rPr>
      </w:pPr>
      <w:r w:rsidRPr="00F90161">
        <w:rPr>
          <w:b/>
          <w:bCs/>
        </w:rPr>
        <w:t xml:space="preserve">The </w:t>
      </w:r>
      <w:r w:rsidR="0092190B">
        <w:rPr>
          <w:b/>
          <w:bCs/>
        </w:rPr>
        <w:t xml:space="preserve">Initial </w:t>
      </w:r>
      <w:r w:rsidRPr="00F90161">
        <w:rPr>
          <w:b/>
          <w:bCs/>
        </w:rPr>
        <w:t>Proposal Document</w:t>
      </w:r>
    </w:p>
    <w:p w14:paraId="66AAAF76" w14:textId="77777777" w:rsidR="00F90161" w:rsidRPr="00F90161" w:rsidRDefault="00F90161" w:rsidP="00F90161">
      <w:r w:rsidRPr="00F90161">
        <w:t>A project proposal is a formal project management and sales document utilized to present a proposed architectural initiative in a clear, highly structured manner before any engineering work commences. A successful proposal explains why a project should exist, justifies the business need, and provides decision-makers with the exact information necessary to approve and fund the initiative.</w:t>
      </w:r>
    </w:p>
    <w:p w14:paraId="3D1A40F2" w14:textId="77777777" w:rsidR="00F90161" w:rsidRPr="00F90161" w:rsidRDefault="00F90161" w:rsidP="00F90161">
      <w:r w:rsidRPr="00F90161">
        <w:t>The most critical component of the proposal is the Executive Summary. Despite its nomenclature, the executive summary is not merely a condensed summary; it is the primary persuasive instrument of the document. It must concisely capture the problem, pitch the value proposition of the proposed solution, highlight the competitive advantage of the architecture, and provide a transparent snapshot of financial requirements.</w:t>
      </w:r>
    </w:p>
    <w:p w14:paraId="333A6027" w14:textId="77777777" w:rsidR="00F90161" w:rsidRPr="00F90161" w:rsidRDefault="00F90161" w:rsidP="00F90161">
      <w:r w:rsidRPr="00F90161">
        <w:t>The following text represents the vendor's formal response to the Apex SaaS Analytics problem statement. This highly detailed text simulates a comprehensive Word document template utilized by elite enterprise technology consultancies.</w:t>
      </w:r>
    </w:p>
    <w:p w14:paraId="618782A5" w14:textId="77777777" w:rsidR="00F90161" w:rsidRPr="00F90161" w:rsidRDefault="00F90161" w:rsidP="00F90161">
      <w:r w:rsidRPr="00F90161">
        <w:pict w14:anchorId="65341CFC">
          <v:rect id="_x0000_i1051" style="width:0;height:1.5pt" o:hralign="center" o:hrstd="t" o:hrnoshade="t" o:hr="t" fillcolor="gray" stroked="f"/>
        </w:pict>
      </w:r>
    </w:p>
    <w:p w14:paraId="26ABE2E9" w14:textId="77777777" w:rsidR="00F90161" w:rsidRPr="00F90161" w:rsidRDefault="00F90161" w:rsidP="00F90161">
      <w:r w:rsidRPr="00F90161">
        <w:rPr>
          <w:b/>
          <w:bCs/>
        </w:rPr>
        <w:t>Document Title:</w:t>
      </w:r>
      <w:r w:rsidRPr="00F90161">
        <w:t xml:space="preserve"> Architectural Modernization, Microservices Extraction, and Enterprise Scaling Proposal</w:t>
      </w:r>
    </w:p>
    <w:p w14:paraId="2B2CDEDC" w14:textId="77777777" w:rsidR="00F90161" w:rsidRPr="00F90161" w:rsidRDefault="00F90161" w:rsidP="00F90161">
      <w:r w:rsidRPr="00F90161">
        <w:rPr>
          <w:b/>
          <w:bCs/>
        </w:rPr>
        <w:t>Prepared For:</w:t>
      </w:r>
      <w:r w:rsidRPr="00F90161">
        <w:t xml:space="preserve"> Office of the Chief Technology Officer, Apex SaaS Analytics</w:t>
      </w:r>
    </w:p>
    <w:p w14:paraId="736E6C12" w14:textId="77777777" w:rsidR="00F90161" w:rsidRPr="00F90161" w:rsidRDefault="00F90161" w:rsidP="00F90161">
      <w:r w:rsidRPr="00F90161">
        <w:rPr>
          <w:b/>
          <w:bCs/>
        </w:rPr>
        <w:t>Prepared By:</w:t>
      </w:r>
      <w:r w:rsidRPr="00F90161">
        <w:t xml:space="preserve"> Enterprise Solutions Architecture Group, [Vendor Consultancy Name]</w:t>
      </w:r>
    </w:p>
    <w:p w14:paraId="6E34D9AF" w14:textId="77777777" w:rsidR="00F90161" w:rsidRPr="00F90161" w:rsidRDefault="00F90161" w:rsidP="00F90161">
      <w:r w:rsidRPr="00F90161">
        <w:rPr>
          <w:b/>
          <w:bCs/>
        </w:rPr>
        <w:t>Document Date:</w:t>
      </w:r>
    </w:p>
    <w:p w14:paraId="7C90052F" w14:textId="77777777" w:rsidR="00F90161" w:rsidRPr="00F90161" w:rsidRDefault="00F90161" w:rsidP="00F90161">
      <w:r w:rsidRPr="00F90161">
        <w:rPr>
          <w:b/>
          <w:bCs/>
        </w:rPr>
        <w:t>Validity Period:</w:t>
      </w:r>
      <w:r w:rsidRPr="00F90161">
        <w:t xml:space="preserve"> 30 Days from Submission</w:t>
      </w:r>
    </w:p>
    <w:p w14:paraId="3C23CA98" w14:textId="77777777" w:rsidR="00F90161" w:rsidRPr="00F90161" w:rsidRDefault="00F90161" w:rsidP="00F90161">
      <w:r w:rsidRPr="00F90161">
        <w:rPr>
          <w:b/>
          <w:bCs/>
        </w:rPr>
        <w:t>1. Executive Summary</w:t>
      </w:r>
    </w:p>
    <w:p w14:paraId="44200010" w14:textId="77777777" w:rsidR="00F90161" w:rsidRPr="00F90161" w:rsidRDefault="00F90161" w:rsidP="00F90161">
      <w:r w:rsidRPr="00F90161">
        <w:t>Apex SaaS Analytics has reached a critical strategic inflection point. The rapid market adoption of your visual analytics platform has vastly outpaced the scalable capacity of its original, boilerplate-derived monolithic architecture. The current reliance on tightly coupled Server-Side Rendering (SSR), a shared-schema multi-tenant database, and a non-enterprise Identity and Access Management (IAM) provider has resulted in unsustainable infrastructure cost bloat, severe performance degradation, and an inability to close high-value enterprise contracts due to unmet security compliance requirements.</w:t>
      </w:r>
    </w:p>
    <w:p w14:paraId="1AAF2D4C" w14:textId="77777777" w:rsidR="00F90161" w:rsidRPr="00F90161" w:rsidRDefault="00F90161" w:rsidP="00F90161">
      <w:r w:rsidRPr="00F90161">
        <w:t xml:space="preserve">[Vendor Consultancy Name] proposes a comprehensive, phased architectural modernization program designed to systematically transition Apex SaaS Analytics from a constrained monolith to a highly resilient, enterprise-grade microservices ecosystem. Our proposed solution will </w:t>
      </w:r>
      <w:r w:rsidRPr="00F90161">
        <w:lastRenderedPageBreak/>
        <w:t>entirely decouple your frontend interface from backend processing, implement a sophisticated hybrid multi-tenant database architecture utilizing isolated Drizzle ORM schemas, and integrate an industry-leading enterprise identity provider (Auth0) to facilitate seamless SAML 2.0 Single Sign-On (SSO).</w:t>
      </w:r>
    </w:p>
    <w:p w14:paraId="4D697B06" w14:textId="77777777" w:rsidR="00F90161" w:rsidRPr="00F90161" w:rsidRDefault="00F90161" w:rsidP="00F90161">
      <w:r w:rsidRPr="00F90161">
        <w:t>This strategic overhaul will directly eliminate current CI/CD deployment bottlenecks, eradicate the "noisy neighbor" database phenomena, and immediately unblock the enterprise sales pipeline by ensuring full infrastructural compliance with SOC 2 Type II and ISO 27001 mandates. The following proposal outlines our technical methodology, architectural blueprints, risk mitigation strategy, implementation timeline, and the financial investment required to future-proof the Apex platform.</w:t>
      </w:r>
    </w:p>
    <w:p w14:paraId="62A17AC8" w14:textId="77777777" w:rsidR="00F90161" w:rsidRPr="00F90161" w:rsidRDefault="00F90161" w:rsidP="00F90161">
      <w:r w:rsidRPr="00F90161">
        <w:rPr>
          <w:b/>
          <w:bCs/>
        </w:rPr>
        <w:t>2. Proposed Architectural Solution</w:t>
      </w:r>
    </w:p>
    <w:p w14:paraId="67F0302F" w14:textId="77777777" w:rsidR="00F90161" w:rsidRPr="00F90161" w:rsidRDefault="00F90161" w:rsidP="00F90161">
      <w:r w:rsidRPr="00F90161">
        <w:t>To comprehensively address the limitations outlined in your problem statement, our engineering team has designed a target architecture built upon three foundational pillars of modern SaaS scalability.</w:t>
      </w:r>
    </w:p>
    <w:p w14:paraId="047559A3" w14:textId="77777777" w:rsidR="00F90161" w:rsidRPr="00F90161" w:rsidRDefault="00F90161" w:rsidP="00F90161">
      <w:r w:rsidRPr="00F90161">
        <w:rPr>
          <w:b/>
          <w:bCs/>
        </w:rPr>
        <w:t>2.1. Monolith to Microservices Decoupling Strategy</w:t>
      </w:r>
    </w:p>
    <w:p w14:paraId="24FC7E89" w14:textId="77777777" w:rsidR="00F90161" w:rsidRPr="00F90161" w:rsidRDefault="00F90161" w:rsidP="00F90161">
      <w:r w:rsidRPr="00F90161">
        <w:t>We will orchestrate a methodical strangler fig pattern migration to decouple the existing Next.js monolith. The frontend will be optimized to act purely as a presentation layer, utilizing static asset delivery combined with client-side data fetching for dynamic visual dashboards, significantly reducing server rendering load. The computationally intensive business logic currently burdening the frontend repository will be extracted into independent, domain-driven backend microservices (e.g., Analytics Engine Service, Billing Service, User Provisioning Service). By isolating these domains behind a secure API Gateway, each service can be scaled independently based on real-time traffic patterns, drastically reducing overall infrastructure expenditure and limiting the blast radius of potential software defects.</w:t>
      </w:r>
    </w:p>
    <w:p w14:paraId="058F09B7" w14:textId="77777777" w:rsidR="00F90161" w:rsidRPr="00F90161" w:rsidRDefault="00F90161" w:rsidP="00F90161">
      <w:r w:rsidRPr="00F90161">
        <w:rPr>
          <w:b/>
          <w:bCs/>
        </w:rPr>
        <w:t>2.2. Advanced Database Multi-Tenancy and Drizzle Optimization</w:t>
      </w:r>
    </w:p>
    <w:p w14:paraId="5B7470F2" w14:textId="77777777" w:rsidR="00F90161" w:rsidRPr="00F90161" w:rsidRDefault="00F90161" w:rsidP="00F90161">
      <w:r w:rsidRPr="00F90161">
        <w:t>To eliminate database resource contention and ensure the strict data isolation required by the financial and retail sectors, we will implement a hybrid multi-tenant data architecture. Standard tier clients will be migrated to a "Shared Database, Separate Schemas" model, providing logical separation and eliminating cross-tenant query interference. For your Tier-1 enterprise clients, we will establish infrastructure-as-code (</w:t>
      </w:r>
      <w:proofErr w:type="spellStart"/>
      <w:r w:rsidRPr="00F90161">
        <w:t>IaC</w:t>
      </w:r>
      <w:proofErr w:type="spellEnd"/>
      <w:r w:rsidRPr="00F90161">
        <w:t>) pipelines to automatically provision "Separate Database Instances," guaranteeing maximum performance isolation. The data access layer will be completely rewritten using advanced Drizzle ORM optimization techniques, utilizing dynamic query contexts and connection pooling to route analytical workloads seamlessly and securely to the correct schema based on the user's authenticated session.</w:t>
      </w:r>
    </w:p>
    <w:p w14:paraId="1D1DC7FC" w14:textId="77777777" w:rsidR="00F90161" w:rsidRPr="00F90161" w:rsidRDefault="00F90161" w:rsidP="00F90161">
      <w:r w:rsidRPr="00F90161">
        <w:rPr>
          <w:b/>
          <w:bCs/>
        </w:rPr>
        <w:lastRenderedPageBreak/>
        <w:t>2.3. Enterprise Identity Migration and Security Hardening</w:t>
      </w:r>
    </w:p>
    <w:p w14:paraId="1A8DE0BF" w14:textId="77777777" w:rsidR="00F90161" w:rsidRPr="00F90161" w:rsidRDefault="00F90161" w:rsidP="00F90161">
      <w:r w:rsidRPr="00F90161">
        <w:t>To unblock enterprise procurement, the platform will be migrated from Clerk to Auth0 to handle all core IAM operations. This migration will provide native support for SAML 2.0, allowing your enterprise customers to enforce their internal corporate security policies, including adaptive Multi-Factor Authentication (MFA) and Directory Sync via SCIM. Furthermore, the new architecture will incorporate automated data encryption protocols (AES-256 at rest, TLS 1.3 in transit) and comprehensive, immutable audit logging to satisfy all evidentiary requirements for immediate SOC 2 Type II certification.</w:t>
      </w:r>
    </w:p>
    <w:p w14:paraId="4FF3BCD4" w14:textId="77777777" w:rsidR="00F90161" w:rsidRPr="00F90161" w:rsidRDefault="00F90161" w:rsidP="00F90161">
      <w:r w:rsidRPr="00F90161">
        <w:rPr>
          <w:b/>
          <w:bCs/>
        </w:rPr>
        <w:t>3. Implementation Roadmap and Deliverable Milestones</w:t>
      </w:r>
    </w:p>
    <w:p w14:paraId="549FE8C1" w14:textId="77777777" w:rsidR="00F90161" w:rsidRPr="00F90161" w:rsidRDefault="00F90161" w:rsidP="00F90161">
      <w:r w:rsidRPr="00F90161">
        <w:t>The modernization project will be executed utilizing a phased agile methodology to ensure zero operational downtime for your existing user base.</w:t>
      </w:r>
    </w:p>
    <w:tbl>
      <w:tblPr>
        <w:tblW w:w="0" w:type="auto"/>
        <w:tblCellSpacing w:w="15" w:type="dxa"/>
        <w:tblCellMar>
          <w:left w:w="0" w:type="dxa"/>
          <w:right w:w="0" w:type="dxa"/>
        </w:tblCellMar>
        <w:tblLook w:val="04A0" w:firstRow="1" w:lastRow="0" w:firstColumn="1" w:lastColumn="0" w:noHBand="0" w:noVBand="1"/>
      </w:tblPr>
      <w:tblGrid>
        <w:gridCol w:w="2586"/>
        <w:gridCol w:w="5436"/>
        <w:gridCol w:w="1322"/>
      </w:tblGrid>
      <w:tr w:rsidR="00F90161" w:rsidRPr="00F90161" w14:paraId="25A99A2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B128DB" w14:textId="77777777" w:rsidR="00F90161" w:rsidRPr="00F90161" w:rsidRDefault="00F90161" w:rsidP="00F90161">
            <w:r w:rsidRPr="00F90161">
              <w:rPr>
                <w:b/>
                <w:bCs/>
              </w:rPr>
              <w:t>Project Phase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790CE2" w14:textId="77777777" w:rsidR="00F90161" w:rsidRPr="00F90161" w:rsidRDefault="00F90161" w:rsidP="00F90161">
            <w:r w:rsidRPr="00F90161">
              <w:rPr>
                <w:b/>
                <w:bCs/>
              </w:rPr>
              <w:t>Key Deliverables and Outcomes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F02433" w14:textId="77777777" w:rsidR="00F90161" w:rsidRPr="00F90161" w:rsidRDefault="00F90161" w:rsidP="00F90161">
            <w:r w:rsidRPr="00F90161">
              <w:rPr>
                <w:b/>
                <w:bCs/>
              </w:rPr>
              <w:t>Estimated Duration</w:t>
            </w:r>
          </w:p>
        </w:tc>
      </w:tr>
      <w:tr w:rsidR="00F90161" w:rsidRPr="00F90161" w14:paraId="15C2FD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8BE45E" w14:textId="77777777" w:rsidR="00F90161" w:rsidRPr="00F90161" w:rsidRDefault="00F90161" w:rsidP="00F90161">
            <w:r w:rsidRPr="00F90161">
              <w:rPr>
                <w:b/>
                <w:bCs/>
              </w:rPr>
              <w:t>Phase 1: Discovery &amp; Infrastructure Setup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C4E34E" w14:textId="77777777" w:rsidR="00F90161" w:rsidRPr="00F90161" w:rsidRDefault="00F90161" w:rsidP="00F90161">
            <w:r w:rsidRPr="00F90161">
              <w:t>Complete codebase audit, cloud environment provisioning, CI/CD pipeline reconfiguration, and establishment of staging environments.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511C99" w14:textId="77777777" w:rsidR="00F90161" w:rsidRPr="00F90161" w:rsidRDefault="00F90161" w:rsidP="00F90161">
            <w:r w:rsidRPr="00F90161">
              <w:t>Weeks 1 - 3</w:t>
            </w:r>
          </w:p>
        </w:tc>
      </w:tr>
      <w:tr w:rsidR="00F90161" w:rsidRPr="00F90161" w14:paraId="2DEDE6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8DF622" w14:textId="77777777" w:rsidR="00F90161" w:rsidRPr="00F90161" w:rsidRDefault="00F90161" w:rsidP="00F90161">
            <w:r w:rsidRPr="00F90161">
              <w:rPr>
                <w:b/>
                <w:bCs/>
              </w:rPr>
              <w:t>Phase 2: Auth0 Migration &amp; Security Hardening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285D75" w14:textId="77777777" w:rsidR="00F90161" w:rsidRPr="00F90161" w:rsidRDefault="00F90161" w:rsidP="00F90161">
            <w:r w:rsidRPr="00F90161">
              <w:t>Deployment of Auth0, mapping of existing user credentials, implementation of SAML/SSO workflows, and RBAC policy enforcement.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960294" w14:textId="77777777" w:rsidR="00F90161" w:rsidRPr="00F90161" w:rsidRDefault="00F90161" w:rsidP="00F90161">
            <w:r w:rsidRPr="00F90161">
              <w:t>Weeks 4 - 7</w:t>
            </w:r>
          </w:p>
        </w:tc>
      </w:tr>
      <w:tr w:rsidR="00F90161" w:rsidRPr="00F90161" w14:paraId="435128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C38899" w14:textId="77777777" w:rsidR="00F90161" w:rsidRPr="00F90161" w:rsidRDefault="00F90161" w:rsidP="00F90161">
            <w:r w:rsidRPr="00F90161">
              <w:rPr>
                <w:b/>
                <w:bCs/>
              </w:rPr>
              <w:t>Phase 3: Database Restructuring &amp; Migration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5C25C1" w14:textId="77777777" w:rsidR="00F90161" w:rsidRPr="00F90161" w:rsidRDefault="00F90161" w:rsidP="00F90161">
            <w:r w:rsidRPr="00F90161">
              <w:t>Generation of tenant-specific schemas, deployment of the dynamic Drizzle ORM routing layer, and execution of zero-downtime data migration protocols.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214497" w14:textId="77777777" w:rsidR="00F90161" w:rsidRPr="00F90161" w:rsidRDefault="00F90161" w:rsidP="00F90161">
            <w:r w:rsidRPr="00F90161">
              <w:t>Weeks 8 - 14</w:t>
            </w:r>
          </w:p>
        </w:tc>
      </w:tr>
      <w:tr w:rsidR="00F90161" w:rsidRPr="00F90161" w14:paraId="130295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961E8E" w14:textId="77777777" w:rsidR="00F90161" w:rsidRPr="00F90161" w:rsidRDefault="00F90161" w:rsidP="00F90161">
            <w:r w:rsidRPr="00F90161">
              <w:rPr>
                <w:b/>
                <w:bCs/>
              </w:rPr>
              <w:lastRenderedPageBreak/>
              <w:t>Phase 4: Microservices Extraction &amp; API Gateway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1EF344" w14:textId="77777777" w:rsidR="00F90161" w:rsidRPr="00F90161" w:rsidRDefault="00F90161" w:rsidP="00F90161">
            <w:r w:rsidRPr="00F90161">
              <w:t>Decoupling the reporting and analytics engines from the monolith, deployment of the API gateway, and frontend integration testing.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67750E" w14:textId="77777777" w:rsidR="00F90161" w:rsidRPr="00F90161" w:rsidRDefault="00F90161" w:rsidP="00F90161">
            <w:r w:rsidRPr="00F90161">
              <w:t>Weeks 15 - 20</w:t>
            </w:r>
          </w:p>
        </w:tc>
      </w:tr>
      <w:tr w:rsidR="00F90161" w:rsidRPr="00F90161" w14:paraId="08B668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3C422F" w14:textId="77777777" w:rsidR="00F90161" w:rsidRPr="00F90161" w:rsidRDefault="00F90161" w:rsidP="00F90161">
            <w:r w:rsidRPr="00F90161">
              <w:rPr>
                <w:b/>
                <w:bCs/>
              </w:rPr>
              <w:t>Phase 5: Quality Assurance &amp; Load Testing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C3EB6D" w14:textId="77777777" w:rsidR="00F90161" w:rsidRPr="00F90161" w:rsidRDefault="00F90161" w:rsidP="00F90161">
            <w:r w:rsidRPr="00F90161">
              <w:t>End-to-end regression testing, automated performance benchmarking, third-party penetration testing, and compliance verification.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2B9316" w14:textId="77777777" w:rsidR="00F90161" w:rsidRPr="00F90161" w:rsidRDefault="00F90161" w:rsidP="00F90161">
            <w:r w:rsidRPr="00F90161">
              <w:t>Weeks 21 - 23</w:t>
            </w:r>
          </w:p>
        </w:tc>
      </w:tr>
      <w:tr w:rsidR="00F90161" w:rsidRPr="00F90161" w14:paraId="112D46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CDB808" w14:textId="77777777" w:rsidR="00F90161" w:rsidRPr="00F90161" w:rsidRDefault="00F90161" w:rsidP="00F90161">
            <w:r w:rsidRPr="00F90161">
              <w:rPr>
                <w:b/>
                <w:bCs/>
              </w:rPr>
              <w:t>Phase 6: Production Go-Live &amp; Handover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19F05B" w14:textId="77777777" w:rsidR="00F90161" w:rsidRPr="00F90161" w:rsidRDefault="00F90161" w:rsidP="00F90161">
            <w:r w:rsidRPr="00F90161">
              <w:t>Gradual traffic routing, final production deployment, continuous observability monitoring, and delivery of architectural documentation.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26D103" w14:textId="77777777" w:rsidR="00F90161" w:rsidRPr="00F90161" w:rsidRDefault="00F90161" w:rsidP="00F90161">
            <w:r w:rsidRPr="00F90161">
              <w:t>Week 24</w:t>
            </w:r>
          </w:p>
        </w:tc>
      </w:tr>
    </w:tbl>
    <w:p w14:paraId="11057AC3" w14:textId="77777777" w:rsidR="00F90161" w:rsidRPr="00F90161" w:rsidRDefault="00F90161" w:rsidP="00F90161">
      <w:r w:rsidRPr="00F90161">
        <w:rPr>
          <w:b/>
          <w:bCs/>
        </w:rPr>
        <w:t>4. Security and Compliance Assurance Matrix</w:t>
      </w:r>
    </w:p>
    <w:p w14:paraId="1A434DD4" w14:textId="77777777" w:rsidR="00F90161" w:rsidRPr="00F90161" w:rsidRDefault="00F90161" w:rsidP="00F90161">
      <w:r w:rsidRPr="00F90161">
        <w:t>To guarantee that the resulting architecture meets enterprise audit requirements, the following security controls will be natively engineered into the platform during the migration:</w:t>
      </w:r>
    </w:p>
    <w:tbl>
      <w:tblPr>
        <w:tblW w:w="0" w:type="auto"/>
        <w:tblCellSpacing w:w="15" w:type="dxa"/>
        <w:tblCellMar>
          <w:left w:w="0" w:type="dxa"/>
          <w:right w:w="0" w:type="dxa"/>
        </w:tblCellMar>
        <w:tblLook w:val="04A0" w:firstRow="1" w:lastRow="0" w:firstColumn="1" w:lastColumn="0" w:noHBand="0" w:noVBand="1"/>
      </w:tblPr>
      <w:tblGrid>
        <w:gridCol w:w="1848"/>
        <w:gridCol w:w="2916"/>
        <w:gridCol w:w="4580"/>
      </w:tblGrid>
      <w:tr w:rsidR="00F90161" w:rsidRPr="00F90161" w14:paraId="05FAEB3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0D8054" w14:textId="77777777" w:rsidR="00F90161" w:rsidRPr="00F90161" w:rsidRDefault="00F90161" w:rsidP="00F90161">
            <w:r w:rsidRPr="00F90161">
              <w:rPr>
                <w:b/>
                <w:bCs/>
              </w:rPr>
              <w:t>Security Domain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00E6D6" w14:textId="77777777" w:rsidR="00F90161" w:rsidRPr="00F90161" w:rsidRDefault="00F90161" w:rsidP="00F90161">
            <w:r w:rsidRPr="00F90161">
              <w:rPr>
                <w:b/>
                <w:bCs/>
              </w:rPr>
              <w:t>Enterprise Requirement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A49528" w14:textId="77777777" w:rsidR="00F90161" w:rsidRPr="00F90161" w:rsidRDefault="00F90161" w:rsidP="00F90161">
            <w:r w:rsidRPr="00F90161">
              <w:rPr>
                <w:b/>
                <w:bCs/>
              </w:rPr>
              <w:t>Technical Implementation Standard</w:t>
            </w:r>
          </w:p>
        </w:tc>
      </w:tr>
      <w:tr w:rsidR="00F90161" w:rsidRPr="00F90161" w14:paraId="5B301D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1E3BA1" w14:textId="77777777" w:rsidR="00F90161" w:rsidRPr="00F90161" w:rsidRDefault="00F90161" w:rsidP="00F90161">
            <w:r w:rsidRPr="00F90161">
              <w:rPr>
                <w:b/>
                <w:bCs/>
              </w:rPr>
              <w:t>Identity Management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E24E21" w14:textId="77777777" w:rsidR="00F90161" w:rsidRPr="00F90161" w:rsidRDefault="00F90161" w:rsidP="00F90161">
            <w:r w:rsidRPr="00F90161">
              <w:t>MFA, Strict RBAC, Least privilege access.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DC1C23" w14:textId="77777777" w:rsidR="00F90161" w:rsidRPr="00F90161" w:rsidRDefault="00F90161" w:rsidP="00F90161">
            <w:r w:rsidRPr="00F90161">
              <w:t>Auth0 Universal Login, time-based session expiration, SCIM synchronization.</w:t>
            </w:r>
          </w:p>
        </w:tc>
      </w:tr>
      <w:tr w:rsidR="00F90161" w:rsidRPr="00F90161" w14:paraId="29BB19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E930A3" w14:textId="77777777" w:rsidR="00F90161" w:rsidRPr="00F90161" w:rsidRDefault="00F90161" w:rsidP="00F90161">
            <w:r w:rsidRPr="00F90161">
              <w:rPr>
                <w:b/>
                <w:bCs/>
              </w:rPr>
              <w:t>Data Protection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FBB555" w14:textId="77777777" w:rsidR="00F90161" w:rsidRPr="00F90161" w:rsidRDefault="00F90161" w:rsidP="00F90161">
            <w:r w:rsidRPr="00F90161">
              <w:t>Encryption at rest and in transit, data residency enforcement.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6848BB" w14:textId="77777777" w:rsidR="00F90161" w:rsidRPr="00F90161" w:rsidRDefault="00F90161" w:rsidP="00F90161">
            <w:r w:rsidRPr="00F90161">
              <w:t>AES-256 for all persistent storage volumes, TLS 1.3 for all APIs, Hardware Security Modules (HSM) for key management.</w:t>
            </w:r>
          </w:p>
        </w:tc>
      </w:tr>
      <w:tr w:rsidR="00F90161" w:rsidRPr="00F90161" w14:paraId="738C05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C98A37" w14:textId="77777777" w:rsidR="00F90161" w:rsidRPr="00F90161" w:rsidRDefault="00F90161" w:rsidP="00F90161">
            <w:r w:rsidRPr="00F90161">
              <w:rPr>
                <w:b/>
                <w:bCs/>
              </w:rPr>
              <w:lastRenderedPageBreak/>
              <w:t>Observability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C809A5" w14:textId="77777777" w:rsidR="00F90161" w:rsidRPr="00F90161" w:rsidRDefault="00F90161" w:rsidP="00F90161">
            <w:r w:rsidRPr="00F90161">
              <w:t>Continuous oversight, immutable logging, anomaly detection.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26B21D" w14:textId="77777777" w:rsidR="00F90161" w:rsidRPr="00F90161" w:rsidRDefault="00F90161" w:rsidP="00F90161">
            <w:r w:rsidRPr="00F90161">
              <w:t>Centralized log ingestion, automated alerts for unauthorized access, shadow IT discovery tools.</w:t>
            </w:r>
          </w:p>
        </w:tc>
      </w:tr>
      <w:tr w:rsidR="00F90161" w:rsidRPr="00F90161" w14:paraId="7B35B4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AAFA79" w14:textId="77777777" w:rsidR="00F90161" w:rsidRPr="00F90161" w:rsidRDefault="00F90161" w:rsidP="00F90161">
            <w:r w:rsidRPr="00F90161">
              <w:rPr>
                <w:b/>
                <w:bCs/>
              </w:rPr>
              <w:t>Compliance Readiness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57CEB3" w14:textId="77777777" w:rsidR="00F90161" w:rsidRPr="00F90161" w:rsidRDefault="00F90161" w:rsidP="00F90161">
            <w:r w:rsidRPr="00F90161">
              <w:t>Verifiable adherence to industry frameworks.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A15B3A" w14:textId="77777777" w:rsidR="00F90161" w:rsidRPr="00F90161" w:rsidRDefault="00F90161" w:rsidP="00F90161">
            <w:r w:rsidRPr="00F90161">
              <w:t>Automated control documentation, regular penetration testing, clear data retention policies.</w:t>
            </w:r>
          </w:p>
        </w:tc>
      </w:tr>
    </w:tbl>
    <w:p w14:paraId="56636304" w14:textId="77777777" w:rsidR="00F90161" w:rsidRPr="00F90161" w:rsidRDefault="00F90161" w:rsidP="00F90161">
      <w:r w:rsidRPr="00F90161">
        <w:rPr>
          <w:b/>
          <w:bCs/>
        </w:rPr>
        <w:t>5. Financial Investment and Payment Terms</w:t>
      </w:r>
    </w:p>
    <w:p w14:paraId="3DDA7EAC" w14:textId="77777777" w:rsidR="00F90161" w:rsidRPr="00F90161" w:rsidRDefault="00F90161" w:rsidP="00F90161">
      <w:r w:rsidRPr="00F90161">
        <w:t>The financial framework for this modernization initiative is structured around milestone-based deliverables. This ensures absolute alignment between vendor performance and client expenditure.</w:t>
      </w:r>
    </w:p>
    <w:tbl>
      <w:tblPr>
        <w:tblW w:w="0" w:type="auto"/>
        <w:tblCellSpacing w:w="15" w:type="dxa"/>
        <w:tblCellMar>
          <w:left w:w="0" w:type="dxa"/>
          <w:right w:w="0" w:type="dxa"/>
        </w:tblCellMar>
        <w:tblLook w:val="04A0" w:firstRow="1" w:lastRow="0" w:firstColumn="1" w:lastColumn="0" w:noHBand="0" w:noVBand="1"/>
      </w:tblPr>
      <w:tblGrid>
        <w:gridCol w:w="5100"/>
        <w:gridCol w:w="2177"/>
        <w:gridCol w:w="2050"/>
      </w:tblGrid>
      <w:tr w:rsidR="00F90161" w:rsidRPr="00F90161" w14:paraId="022E2E4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3A6DBF" w14:textId="77777777" w:rsidR="00F90161" w:rsidRPr="00F90161" w:rsidRDefault="00F90161" w:rsidP="00F90161">
            <w:r w:rsidRPr="00F90161">
              <w:rPr>
                <w:b/>
                <w:bCs/>
              </w:rPr>
              <w:t>Deliverable Milestone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90E306" w14:textId="77777777" w:rsidR="00F90161" w:rsidRPr="00F90161" w:rsidRDefault="00F90161" w:rsidP="00F90161">
            <w:r w:rsidRPr="00F90161">
              <w:rPr>
                <w:b/>
                <w:bCs/>
              </w:rPr>
              <w:t>Payment Allocation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621E38" w14:textId="77777777" w:rsidR="00F90161" w:rsidRPr="00F90161" w:rsidRDefault="00F90161" w:rsidP="00F90161">
            <w:r w:rsidRPr="00F90161">
              <w:rPr>
                <w:b/>
                <w:bCs/>
              </w:rPr>
              <w:t>Cost Estimate (USD)</w:t>
            </w:r>
          </w:p>
        </w:tc>
      </w:tr>
      <w:tr w:rsidR="00F90161" w:rsidRPr="00F90161" w14:paraId="0032CD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B2FF4A" w14:textId="77777777" w:rsidR="00F90161" w:rsidRPr="00F90161" w:rsidRDefault="00F90161" w:rsidP="00F90161">
            <w:r w:rsidRPr="00F90161">
              <w:t>Project Kickoff &amp; Discovery Acceptance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F88005" w14:textId="77777777" w:rsidR="00F90161" w:rsidRPr="00F90161" w:rsidRDefault="00F90161" w:rsidP="00F90161">
            <w:r w:rsidRPr="00F90161">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540AE5" w14:textId="77777777" w:rsidR="00F90161" w:rsidRPr="00F90161" w:rsidRDefault="00F90161" w:rsidP="00F90161">
            <w:r w:rsidRPr="00F90161">
              <w:t>$52,500</w:t>
            </w:r>
          </w:p>
        </w:tc>
      </w:tr>
      <w:tr w:rsidR="00F90161" w:rsidRPr="00F90161" w14:paraId="2EB580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F63D52" w14:textId="77777777" w:rsidR="00F90161" w:rsidRPr="00F90161" w:rsidRDefault="00F90161" w:rsidP="00F90161">
            <w:r w:rsidRPr="00F90161">
              <w:t>IAM Migration and SSO Configuration Sign-off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9B43EF" w14:textId="77777777" w:rsidR="00F90161" w:rsidRPr="00F90161" w:rsidRDefault="00F90161" w:rsidP="00F90161">
            <w:r w:rsidRPr="00F90161">
              <w:t>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8A2B8C" w14:textId="77777777" w:rsidR="00F90161" w:rsidRPr="00F90161" w:rsidRDefault="00F90161" w:rsidP="00F90161">
            <w:r w:rsidRPr="00F90161">
              <w:t>$70,000</w:t>
            </w:r>
          </w:p>
        </w:tc>
      </w:tr>
      <w:tr w:rsidR="00F90161" w:rsidRPr="00F90161" w14:paraId="38BE6F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07560D" w14:textId="77777777" w:rsidR="00F90161" w:rsidRPr="00F90161" w:rsidRDefault="00F90161" w:rsidP="00F90161">
            <w:r w:rsidRPr="00F90161">
              <w:t>Multi-tenant Database Infrastructure Deployment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7CE8EC" w14:textId="77777777" w:rsidR="00F90161" w:rsidRPr="00F90161" w:rsidRDefault="00F90161" w:rsidP="00F90161">
            <w:r w:rsidRPr="00F90161">
              <w:t>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00620D" w14:textId="77777777" w:rsidR="00F90161" w:rsidRPr="00F90161" w:rsidRDefault="00F90161" w:rsidP="00F90161">
            <w:r w:rsidRPr="00F90161">
              <w:t>$87,500</w:t>
            </w:r>
          </w:p>
        </w:tc>
      </w:tr>
      <w:tr w:rsidR="00F90161" w:rsidRPr="00F90161" w14:paraId="160ECA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B6455E" w14:textId="77777777" w:rsidR="00F90161" w:rsidRPr="00F90161" w:rsidRDefault="00F90161" w:rsidP="00F90161">
            <w:r w:rsidRPr="00F90161">
              <w:t>Core Microservices Extraction and API Delivery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902194" w14:textId="77777777" w:rsidR="00F90161" w:rsidRPr="00F90161" w:rsidRDefault="00F90161" w:rsidP="00F90161">
            <w:r w:rsidRPr="00F90161">
              <w:t>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652379" w14:textId="77777777" w:rsidR="00F90161" w:rsidRPr="00F90161" w:rsidRDefault="00F90161" w:rsidP="00F90161">
            <w:r w:rsidRPr="00F90161">
              <w:t>$87,500</w:t>
            </w:r>
          </w:p>
        </w:tc>
      </w:tr>
      <w:tr w:rsidR="00F90161" w:rsidRPr="00F90161" w14:paraId="381DE1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85E479" w14:textId="77777777" w:rsidR="00F90161" w:rsidRPr="00F90161" w:rsidRDefault="00F90161" w:rsidP="00F90161">
            <w:r w:rsidRPr="00F90161">
              <w:t>Final QA, Production Go-Live, and Handover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9AC7EE" w14:textId="77777777" w:rsidR="00F90161" w:rsidRPr="00F90161" w:rsidRDefault="00F90161" w:rsidP="00F90161">
            <w:r w:rsidRPr="00F90161">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F4C45C" w14:textId="77777777" w:rsidR="00F90161" w:rsidRPr="00F90161" w:rsidRDefault="00F90161" w:rsidP="00F90161">
            <w:r w:rsidRPr="00F90161">
              <w:t>$52,500</w:t>
            </w:r>
          </w:p>
        </w:tc>
      </w:tr>
      <w:tr w:rsidR="00F90161" w:rsidRPr="00F90161" w14:paraId="504602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61C54B" w14:textId="77777777" w:rsidR="00F90161" w:rsidRPr="00F90161" w:rsidRDefault="00F90161" w:rsidP="00F90161">
            <w:r w:rsidRPr="00F90161">
              <w:rPr>
                <w:b/>
                <w:bCs/>
              </w:rPr>
              <w:lastRenderedPageBreak/>
              <w:t>Total Project Investment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DAB280" w14:textId="77777777" w:rsidR="00F90161" w:rsidRPr="00F90161" w:rsidRDefault="00F90161" w:rsidP="00F90161">
            <w:r w:rsidRPr="00F90161">
              <w:rPr>
                <w:b/>
                <w:bCs/>
              </w:rPr>
              <w:t>100%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FEB3D7" w14:textId="77777777" w:rsidR="00F90161" w:rsidRPr="00F90161" w:rsidRDefault="00F90161" w:rsidP="00F90161">
            <w:r w:rsidRPr="00F90161">
              <w:rPr>
                <w:b/>
                <w:bCs/>
              </w:rPr>
              <w:t>$350,000</w:t>
            </w:r>
          </w:p>
        </w:tc>
      </w:tr>
    </w:tbl>
    <w:p w14:paraId="28E213FF" w14:textId="77777777" w:rsidR="00F90161" w:rsidRPr="00F90161" w:rsidRDefault="00F90161" w:rsidP="00F90161">
      <w:r w:rsidRPr="00F90161">
        <w:rPr>
          <w:i/>
          <w:iCs/>
        </w:rPr>
        <w:t>Ownership Clause: All custom software, infrastructure as code (</w:t>
      </w:r>
      <w:proofErr w:type="spellStart"/>
      <w:r w:rsidRPr="00F90161">
        <w:rPr>
          <w:i/>
          <w:iCs/>
        </w:rPr>
        <w:t>IaC</w:t>
      </w:r>
      <w:proofErr w:type="spellEnd"/>
      <w:r w:rsidRPr="00F90161">
        <w:rPr>
          <w:i/>
          <w:iCs/>
        </w:rPr>
        <w:t>) scripts, and architectural documentation developed during this engagement will become the sole intellectual property of Apex SaaS Analytics upon receipt of final payment. This estimate does not include ongoing third-party licensing fees (e.g., Auth0 enterprise tier, AWS/GCP infrastructure consumption), which remain the direct responsibility of Apex.</w:t>
      </w:r>
    </w:p>
    <w:p w14:paraId="0425F35C" w14:textId="77777777" w:rsidR="00F90161" w:rsidRPr="00F90161" w:rsidRDefault="00F90161" w:rsidP="00F90161">
      <w:r w:rsidRPr="00F90161">
        <w:rPr>
          <w:b/>
          <w:bCs/>
        </w:rPr>
        <w:t>6. Next Steps and Authorization</w:t>
      </w:r>
    </w:p>
    <w:p w14:paraId="3EF5BC1B" w14:textId="77777777" w:rsidR="00F90161" w:rsidRPr="00F90161" w:rsidRDefault="00F90161" w:rsidP="00F90161">
      <w:r w:rsidRPr="00F90161">
        <w:t>To proceed with this proposal, we request a formal review meeting with your technical leadership team to address any final architectural queries and align on resource allocation. Upon verbal agreement, a binding Statement of Work (SOW) and Master Services Agreement (MSA) will be drafted for immediate legal execution.</w:t>
      </w:r>
    </w:p>
    <w:p w14:paraId="743E2DAC" w14:textId="77777777" w:rsidR="00F90161" w:rsidRPr="00F90161" w:rsidRDefault="00F90161" w:rsidP="00F90161">
      <w:r w:rsidRPr="00F90161">
        <w:pict w14:anchorId="1B48DB99">
          <v:rect id="_x0000_i1052" style="width:0;height:1.5pt" o:hralign="center" o:hrstd="t" o:hrnoshade="t" o:hr="t" fillcolor="gray" stroked="f"/>
        </w:pict>
      </w:r>
    </w:p>
    <w:p w14:paraId="106B25D6" w14:textId="77777777" w:rsidR="00F90161" w:rsidRPr="00F90161" w:rsidRDefault="00F90161" w:rsidP="00F90161">
      <w:pPr>
        <w:rPr>
          <w:b/>
          <w:bCs/>
        </w:rPr>
      </w:pPr>
      <w:r w:rsidRPr="00F90161">
        <w:rPr>
          <w:b/>
          <w:bCs/>
        </w:rPr>
        <w:t>The Execution Phase: Post-Signature Onboarding Realities</w:t>
      </w:r>
    </w:p>
    <w:p w14:paraId="79972A14" w14:textId="77777777" w:rsidR="00F90161" w:rsidRPr="00F90161" w:rsidRDefault="00F90161" w:rsidP="00F90161">
      <w:r w:rsidRPr="00F90161">
        <w:t>The transmission, negotiation, and formal acceptance of the initial proposal mark the critical transition from the sales and discovery phase into the formal client onboarding and execution phase. In the realm of complex B2B SaaS modernization, a standard, automated software deployment is entirely insufficient. The vendor must actively guide the client through a deeply structured change management and technical migration process, mitigating risks at every juncture.</w:t>
      </w:r>
    </w:p>
    <w:p w14:paraId="373628F8" w14:textId="77777777" w:rsidR="00F90161" w:rsidRPr="00F90161" w:rsidRDefault="00F90161" w:rsidP="00F90161">
      <w:pPr>
        <w:rPr>
          <w:b/>
          <w:bCs/>
        </w:rPr>
      </w:pPr>
      <w:r w:rsidRPr="00F90161">
        <w:rPr>
          <w:b/>
          <w:bCs/>
        </w:rPr>
        <w:t>Kickoff and Exhaustive Needs Assessment</w:t>
      </w:r>
    </w:p>
    <w:p w14:paraId="33CE748E" w14:textId="77777777" w:rsidR="00F90161" w:rsidRPr="00F90161" w:rsidRDefault="00F90161" w:rsidP="00F90161">
      <w:r w:rsidRPr="00F90161">
        <w:t xml:space="preserve">The execution lifecycle formally commences with a kickoff meeting. This engagement serves to establish a collaborative partnership, align expectations regarding communication cadences, and define explicit points of contact across both the vendor's and the client's organizations. While the proposal established the broad architectural strokes, the kickoff leads directly into an exhaustive technical needs assessment. Even with a comprehensive problem statement, uncovering latent, undocumented technical debt within the client's legacy boilerplate systems is inevitable. The vendor's engineering teams must meticulously map existing data flows, assess the referential integrity of the data designated for migration, and identify any undocumented </w:t>
      </w:r>
      <w:r w:rsidRPr="00F90161">
        <w:lastRenderedPageBreak/>
        <w:t>API dependencies that could complicate the microservices extraction. Failure to properly audit the legacy system often leads to severe delays later in the pipeline.</w:t>
      </w:r>
    </w:p>
    <w:p w14:paraId="125A49D9" w14:textId="77777777" w:rsidR="00F90161" w:rsidRPr="00F90161" w:rsidRDefault="00F90161" w:rsidP="00F90161">
      <w:pPr>
        <w:rPr>
          <w:b/>
          <w:bCs/>
        </w:rPr>
      </w:pPr>
      <w:r w:rsidRPr="00F90161">
        <w:rPr>
          <w:b/>
          <w:bCs/>
        </w:rPr>
        <w:t>Mitigating Data Migration and Integration Risks</w:t>
      </w:r>
    </w:p>
    <w:p w14:paraId="2CCFD0A4" w14:textId="77777777" w:rsidR="00F90161" w:rsidRPr="00F90161" w:rsidRDefault="00F90161" w:rsidP="00F90161">
      <w:r w:rsidRPr="00F90161">
        <w:t>The platform setup phase, encompassing the physical restructuring of the cloud architecture, is fundamentally fraught with operational risk. The primary concern during any major SaaS migration—particularly when transitioning from a shared database model to a deeply isolated, multi-tenant schema architecture—is preventing data loss and minimizing operational downtime for the end-users. The transition requires the deployment of parallel cloud environments. Data must be continuously synchronized between the legacy monolith's database and the newly provisioned microservices database clusters. This parallel run state is maintained until absolute data integrity is cryptographically verified. Organizations that attempt to rush data migration or deploy without adequate observability and rollback mechanisms routinely experience catastrophic data corruption.</w:t>
      </w:r>
    </w:p>
    <w:p w14:paraId="3B83F001" w14:textId="77777777" w:rsidR="00F90161" w:rsidRPr="00F90161" w:rsidRDefault="00F90161" w:rsidP="00F90161">
      <w:r w:rsidRPr="00F90161">
        <w:t>Concurrently, the vendor must actively manage the integration of the new enterprise authentication systems. Implementing SAML and configuring Okta or Auth0 requires tight coordination not only with the client's internal IT teams but also potentially with the client's end-users to ensure seamless identity mapping. Failure to accurately map user attributes, configure the correct Audience URIs, or secure the appropriate Identity Provider certificates can result in massive user lockouts during the transition, severely damaging the client's reputation.</w:t>
      </w:r>
    </w:p>
    <w:p w14:paraId="4F9B3AB1" w14:textId="77777777" w:rsidR="00F90161" w:rsidRPr="00F90161" w:rsidRDefault="00F90161" w:rsidP="00F90161">
      <w:pPr>
        <w:rPr>
          <w:b/>
          <w:bCs/>
        </w:rPr>
      </w:pPr>
      <w:r w:rsidRPr="00F90161">
        <w:rPr>
          <w:b/>
          <w:bCs/>
        </w:rPr>
        <w:t>Organizational Training, Go-Live, and Ongoing Support</w:t>
      </w:r>
    </w:p>
    <w:p w14:paraId="11277A76" w14:textId="77777777" w:rsidR="00F90161" w:rsidRPr="00F90161" w:rsidRDefault="00F90161" w:rsidP="00F90161">
      <w:r w:rsidRPr="00F90161">
        <w:t>As the technical architecture solidifies, the focus must shift to organizational readiness. B2B onboarding mandates comprehensive training protocols. Because the backend architecture has fundamentally changed, the deployment pipelines, CI/CD tools, and operational telemetry dashboards utilized by the client's internal development and customer success teams will be entirely altered. Modern onboarding strategies increasingly rely on structured video-based learning and AI-powered contextual guidance, which have been proven to accelerate time-to-value by providing internal users with immediate, highly relevant instructional content directly within their new operational interfaces.</w:t>
      </w:r>
    </w:p>
    <w:p w14:paraId="3291B265" w14:textId="77777777" w:rsidR="00F90161" w:rsidRPr="00F90161" w:rsidRDefault="00F90161" w:rsidP="00F90161">
      <w:r w:rsidRPr="00F90161">
        <w:t xml:space="preserve">The culmination of the onboarding process is the "Go-Live" event, the highly orchestrated moment where production traffic is formally routed away from the legacy monolith and into the modernized microservices platform. However, the vendor's responsibility does not conclude at deployment. A critical review and </w:t>
      </w:r>
      <w:proofErr w:type="spellStart"/>
      <w:r w:rsidRPr="00F90161">
        <w:t>hypercare</w:t>
      </w:r>
      <w:proofErr w:type="spellEnd"/>
      <w:r w:rsidRPr="00F90161">
        <w:t xml:space="preserve"> period must follow, designed to monitor system telemetry, validate the successful eradication of the previously identified database performance bottlenecks, and ensure that the newly established compliance frameworks are operating autonomously.</w:t>
      </w:r>
    </w:p>
    <w:p w14:paraId="1A75A901" w14:textId="77777777" w:rsidR="00F90161" w:rsidRPr="00F90161" w:rsidRDefault="00F90161" w:rsidP="00F90161">
      <w:r w:rsidRPr="00F90161">
        <w:lastRenderedPageBreak/>
        <w:t>A significant portion of the ultimate value delivered during this onboarding process lies in establishing long-term audit readiness. The modernized architecture is continuously validated against SaaS compliance checklists, ensuring that Identity and Access Management, data protection encryption, incident response mechanisms, and governance logging are fully operational and prepared for imminent SOC 2 or ISO 27001 audits. This final phase verifies that the promises articulated in the initial proposal have been unequivocally fulfilled, transforming the client's technological infrastructure from a liability into a scalable, enterprise-grade asset.</w:t>
      </w:r>
    </w:p>
    <w:p w14:paraId="5ADAF34A" w14:textId="77777777" w:rsidR="00F90161" w:rsidRDefault="00F90161"/>
    <w:sectPr w:rsidR="00F9016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84EE9"/>
    <w:multiLevelType w:val="multilevel"/>
    <w:tmpl w:val="0B8C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405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161"/>
    <w:rsid w:val="00432271"/>
    <w:rsid w:val="0092190B"/>
    <w:rsid w:val="00D8038D"/>
    <w:rsid w:val="00F90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4D77B"/>
  <w15:chartTrackingRefBased/>
  <w15:docId w15:val="{0D5ABEB5-2ED0-451B-9F00-0E8CCF110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1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01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01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01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01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01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1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1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1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1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01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01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01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01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01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1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1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161"/>
    <w:rPr>
      <w:rFonts w:eastAsiaTheme="majorEastAsia" w:cstheme="majorBidi"/>
      <w:color w:val="272727" w:themeColor="text1" w:themeTint="D8"/>
    </w:rPr>
  </w:style>
  <w:style w:type="paragraph" w:styleId="Title">
    <w:name w:val="Title"/>
    <w:basedOn w:val="Normal"/>
    <w:next w:val="Normal"/>
    <w:link w:val="TitleChar"/>
    <w:uiPriority w:val="10"/>
    <w:qFormat/>
    <w:rsid w:val="00F901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1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1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1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161"/>
    <w:pPr>
      <w:spacing w:before="160"/>
      <w:jc w:val="center"/>
    </w:pPr>
    <w:rPr>
      <w:i/>
      <w:iCs/>
      <w:color w:val="404040" w:themeColor="text1" w:themeTint="BF"/>
    </w:rPr>
  </w:style>
  <w:style w:type="character" w:customStyle="1" w:styleId="QuoteChar">
    <w:name w:val="Quote Char"/>
    <w:basedOn w:val="DefaultParagraphFont"/>
    <w:link w:val="Quote"/>
    <w:uiPriority w:val="29"/>
    <w:rsid w:val="00F90161"/>
    <w:rPr>
      <w:i/>
      <w:iCs/>
      <w:color w:val="404040" w:themeColor="text1" w:themeTint="BF"/>
    </w:rPr>
  </w:style>
  <w:style w:type="paragraph" w:styleId="ListParagraph">
    <w:name w:val="List Paragraph"/>
    <w:basedOn w:val="Normal"/>
    <w:uiPriority w:val="34"/>
    <w:qFormat/>
    <w:rsid w:val="00F90161"/>
    <w:pPr>
      <w:ind w:left="720"/>
      <w:contextualSpacing/>
    </w:pPr>
  </w:style>
  <w:style w:type="character" w:styleId="IntenseEmphasis">
    <w:name w:val="Intense Emphasis"/>
    <w:basedOn w:val="DefaultParagraphFont"/>
    <w:uiPriority w:val="21"/>
    <w:qFormat/>
    <w:rsid w:val="00F90161"/>
    <w:rPr>
      <w:i/>
      <w:iCs/>
      <w:color w:val="2F5496" w:themeColor="accent1" w:themeShade="BF"/>
    </w:rPr>
  </w:style>
  <w:style w:type="paragraph" w:styleId="IntenseQuote">
    <w:name w:val="Intense Quote"/>
    <w:basedOn w:val="Normal"/>
    <w:next w:val="Normal"/>
    <w:link w:val="IntenseQuoteChar"/>
    <w:uiPriority w:val="30"/>
    <w:qFormat/>
    <w:rsid w:val="00F901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0161"/>
    <w:rPr>
      <w:i/>
      <w:iCs/>
      <w:color w:val="2F5496" w:themeColor="accent1" w:themeShade="BF"/>
    </w:rPr>
  </w:style>
  <w:style w:type="character" w:styleId="IntenseReference">
    <w:name w:val="Intense Reference"/>
    <w:basedOn w:val="DefaultParagraphFont"/>
    <w:uiPriority w:val="32"/>
    <w:qFormat/>
    <w:rsid w:val="00F901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2148</Words>
  <Characters>12246</Characters>
  <Application>Microsoft Office Word</Application>
  <DocSecurity>0</DocSecurity>
  <Lines>102</Lines>
  <Paragraphs>28</Paragraphs>
  <ScaleCrop>false</ScaleCrop>
  <Company/>
  <LinksUpToDate>false</LinksUpToDate>
  <CharactersWithSpaces>14366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Credencys Solutions</dc:creator>
  <cp:keywords/>
  <dc:description/>
  <cp:lastModifiedBy>Credencys Solutions</cp:lastModifiedBy>
  <cp:revision>7</cp:revision>
  <dcterms:created xsi:type="dcterms:W3CDTF">2026-03-17T06:59:00Z</dcterms:created>
  <dcterms:modified xsi:type="dcterms:W3CDTF">2026-03-17T07:10:00Z</dcterms:modified>
</cp:coreProperties>
</file>