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1F4E79"/>
          <w:sz w:val="30"/>
          <w:szCs w:val="30"/>
        </w:rPr>
        <w:t xml:space="preserve">PubliX Group AB</w:t>
      </w:r>
    </w:p>
    <w:p>
      <w:pPr>
        <w:pBdr>
          <w:bottom w:val="single" w:color="1F4E79" w:sz="12" w:space="4"/>
        </w:pBdr>
        <w:spacing w:after="360"/>
      </w:pPr>
    </w:p>
    <w:p>
      <w:pPr>
        <w:spacing w:after="120"/>
      </w:pPr>
      <w:r>
        <w:rPr>
          <w:b/>
          <w:bCs/>
          <w:color w:val="000000"/>
          <w:sz w:val="40"/>
          <w:szCs w:val="40"/>
        </w:rPr>
        <w:t xml:space="preserve">How We Find, Choose and Approach Acquisition Targets</w:t>
      </w:r>
    </w:p>
    <w:p>
      <w:pPr>
        <w:spacing w:after="600"/>
      </w:pPr>
      <w:r>
        <w:rPr>
          <w:i/>
          <w:iCs/>
          <w:color w:val="404040"/>
          <w:sz w:val="24"/>
          <w:szCs w:val="24"/>
        </w:rPr>
        <w:t xml:space="preserve">A briefing for our digital marketing partner: the strategy behind the funnel, and what good inbound looks like for a buy-and-build software group.</w:t>
      </w:r>
    </w:p>
    <w:p>
      <w:pPr>
        <w:spacing w:after="80"/>
      </w:pPr>
      <w:r>
        <w:rPr>
          <w:sz w:val="22"/>
          <w:szCs w:val="22"/>
        </w:rPr>
        <w:t xml:space="preserve">Prepared for: Website &amp; inbound design engagement</w:t>
      </w:r>
    </w:p>
    <w:p>
      <w:pPr>
        <w:spacing w:after="80"/>
      </w:pPr>
      <w:r>
        <w:rPr>
          <w:sz w:val="22"/>
          <w:szCs w:val="22"/>
        </w:rPr>
        <w:t xml:space="preserve">Prepared by: Alexander Hübel, CEO</w:t>
      </w:r>
    </w:p>
    <w:p>
      <w:pPr>
        <w:spacing w:after="80"/>
      </w:pPr>
      <w:r>
        <w:rPr>
          <w:sz w:val="22"/>
          <w:szCs w:val="22"/>
        </w:rPr>
        <w:t xml:space="preserve">Classification: Confidential</w:t>
      </w:r>
    </w:p>
    <w:p>
      <w:r>
        <w:br w:type="page"/>
      </w:r>
    </w:p>
    <w:p>
      <w:pPr>
        <w:pStyle w:val="Heading1"/>
      </w:pPr>
      <w:r>
        <w:t xml:space="preserve">Why this document exists</w:t>
      </w:r>
    </w:p>
    <w:p>
      <w:pPr>
        <w:spacing w:after="140" w:line="276"/>
      </w:pPr>
      <w:r>
        <w:t xml:space="preserve">You are designing our website and the inbound process behind it. To do that well you need to understand who we are trying to reach, why they would want to talk to us, and how we decide which conversations are worth our time. We are not a SaaS product chasing users. We are an acquirer looking for a small number of high-quality companies to buy each year, and the job of the site is not to generate hundreds of leads but to make the right founder, the owner of a niche public sector software company, recognise themselves in what we say and start a conversation. Quality of fit matters far more than volume. This document explains our strategy and how we actually win founders, to build shared understanding for the project. Some of it is internal context that should not appear on the site; where that is the case it is flagged.</w:t>
      </w:r>
    </w:p>
    <w:p>
      <w:pPr>
        <w:pStyle w:val="Heading1"/>
      </w:pPr>
      <w:r>
        <w:t xml:space="preserve">Who we are and what we are building</w:t>
      </w:r>
    </w:p>
    <w:p>
      <w:pPr>
        <w:spacing w:after="140" w:line="276"/>
      </w:pPr>
      <w:r>
        <w:t xml:space="preserve">PubliX Group AB is a Nordic buy-and-build software group backed by the private equity firm Aspira Partners. We own and grow a portfolio of specialised software companies. Today that portfolio is five operating companies across Sweden and Finland, each serving a defined public sector workflow: operations software for personal assistance and disability services providers, grant and subsidy management for foundations and public agencies, healthcare workforce scheduling, and crime prevention compliance for municipalities.</w:t>
      </w:r>
    </w:p>
    <w:p>
      <w:pPr>
        <w:spacing w:after="140" w:line="276"/>
      </w:pPr>
      <w:r>
        <w:t xml:space="preserve">Buy-and-build means exactly what it sounds like. We acquire established software companies and then help them grow, through shared expertise, capital for product and sales investment, and the option to expand into neighbouring countries and workflows. Founders who sell to us are not selling to be shut down or stripped. In most cases they stay involved, and the company keeps its name, its team, and its customers.</w:t>
      </w:r>
    </w:p>
    <w:p>
      <w:pPr>
        <w:spacing w:after="140" w:line="276"/>
      </w:pPr>
      <w:r>
        <w:t xml:space="preserve">Our head office is deliberately small. We are not a large corporate buyer with layers of process. A founder who contacts us reaches the people who actually make decisions, quickly. That is a genuine selling point and the site should convey it.</w:t>
      </w:r>
    </w:p>
    <w:p>
      <w:pPr>
        <w:pStyle w:val="Heading1"/>
      </w:pPr>
      <w:r>
        <w:t xml:space="preserve">What our companies do</w:t>
      </w:r>
    </w:p>
    <w:p>
      <w:pPr>
        <w:spacing w:after="140" w:line="276"/>
      </w:pPr>
      <w:r>
        <w:t xml:space="preserve">The portfolio is the clearest statement of what we buy. Each company solves a specific problem for a specific customer, and in every case the work is something the customer is required to do, by law or by the terms under which they handle public money. That is the pattern the website should make visible, because it is what a founder of a similar company will recognise.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60"/>
        <w:gridCol w:w="530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Company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Who it serves</w:t>
            </w:r>
          </w:p>
        </w:tc>
        <w:tc>
          <w:tcPr>
            <w:tcW w:type="dxa" w:w="5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The problem it solves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9"/>
                <w:szCs w:val="19"/>
              </w:rPr>
              <w:t xml:space="preserve">Tidvis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Private personal assistance and disability services (LSS) providers in Sweden</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The system these providers run their daily operations on: scheduling, service delivery, and the documentation that disability services law requires. Once a provider runs its operation on Tidvis, replacing it means re-plumbing how the business works.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9"/>
                <w:szCs w:val="19"/>
              </w:rPr>
              <w:t xml:space="preserve">digiPlant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Foundations and public grant-giving agencies in Sweden</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Manages the whole life of a grant, from application through decision, payment, reporting and audit. Organisations that hand out public or foundation money have to show where it went; digiPlant is how they prove it.</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9"/>
                <w:szCs w:val="19"/>
              </w:rPr>
              <w:t xml:space="preserve">Aspicore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Foundations and public grant-givers in Finland</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The Finnish counterpart to digiPlant. Same grant lifecycle, anchored in Finnish foundation and public-fund reporting and audit obligations.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9"/>
                <w:szCs w:val="19"/>
              </w:rPr>
              <w:t xml:space="preserve">Koivu Solutions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Finnish healthcare bodies (regional wellbeing counties), expanding into schools and private operators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Its product, Sotender, lets an organisation fill open shifts from its own staff instead of paying expensive temp agencies. In a sector with constant staffing shortages, that is a direct and measurable cost saving.</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19"/>
                <w:szCs w:val="19"/>
              </w:rPr>
              <w:t xml:space="preserve">Embrace Safety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Swedish municipalities</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Since 2023, Swedish municipalities have a legal duty to maintain a local picture of crime and run crime-prevention work. Embrace is the software they use to do that work and document that they have done it.</w:t>
            </w:r>
          </w:p>
        </w:tc>
      </w:tr>
    </w:tbl>
    <w:p>
      <w:pPr>
        <w:spacing w:after="140"/>
      </w:pPr>
    </w:p>
    <w:p>
      <w:pPr>
        <w:spacing w:after="140" w:line="276"/>
      </w:pPr>
      <w:r>
        <w:t xml:space="preserve">Read across the five and the thesis comes into focus. None of these is a general-purpose tool. Each one is the place a specific customer goes to do a specific, often legally required, job. That is what makes the customer relationships durable, and it is the kind of company we want more of.</w:t>
      </w:r>
    </w:p>
    <w:p>
      <w:pPr>
        <w:pStyle w:val="Heading1"/>
      </w:pPr>
      <w:r>
        <w:t xml:space="preserve">The thesis: vertical software inside regulated public sector workflows</w:t>
      </w:r>
    </w:p>
    <w:p>
      <w:pPr>
        <w:spacing w:after="140" w:line="276"/>
      </w:pPr>
      <w:r>
        <w:t xml:space="preserve">We buy one kind of company: software built for a single public sector workflow, where the workflow is tied to a law, a reporting duty, or a compliance requirement. Each word of that does work. Vertical means built for one job in one sector, not a general-purpose tool a buyer could swap for something else. Public sector means the customer is a municipality, a region, a government agency, a foundation, or an organisation that supplies them. Regulated means the customer has to do the thing the software does, because a rule requires it, so the relationship does not depend on the customer's mood or budget cycle in the way ordinary software does.</w:t>
      </w:r>
    </w:p>
    <w:p>
      <w:pPr>
        <w:spacing w:after="140" w:line="276"/>
      </w:pPr>
      <w:r>
        <w:t xml:space="preserve">This is not how most software acquirers describe themselves, and the difference is the point. A founder in this niche has usually been approached by generalist buyers who do not understand the regulation, the procurement cycle, or why a municipality takes nine months to switch systems. When we describe the workflow back to them accurately, they know immediately we are not that kind of buyer. The website's first job is to reproduce that moment of recognition.</w:t>
      </w:r>
    </w:p>
    <w:p>
      <w:pPr>
        <w:pStyle w:val="Heading1"/>
      </w:pPr>
      <w:r>
        <w:t xml:space="preserve">The workflows: where we are, and how much wider we go</w:t>
      </w:r>
    </w:p>
    <w:p>
      <w:pPr>
        <w:spacing w:after="140" w:line="276"/>
      </w:pPr>
      <w:r>
        <w:t xml:space="preserve">Our five companies sit in three workflows: grant and subsidy management, healthcare and care workforce scheduling, and care operations and compliance for disability and crime-prevention services. They are good businesses and they prove the model works. But they are a starting point, not the boundary of what we buy. The regulated public sector is far wider than three workflows, and so is our target set.</w:t>
      </w:r>
    </w:p>
    <w:p>
      <w:pPr>
        <w:spacing w:after="140" w:line="276"/>
      </w:pPr>
      <w:r>
        <w:t xml:space="preserve">We have mapped the Nordic public sector into a universe of workflows and track active targets across most of them. Alongside the three we already own, we are looking at patient engagement and patient safety, critical communication, case management, citizen engagement, asset and facility management, procurement, meeting and decision management, education and learning, and others. The test for each is the same one our current companies pass: is the work regulation-bound or compliance-driven, is it sticky once embedded, and is the niche narrow enough that one company can lead it across the Nordics.</w:t>
      </w:r>
    </w:p>
    <w:p>
      <w:pPr>
        <w:spacing w:after="140" w:line="276"/>
      </w:pPr>
      <w:r>
        <w:t xml:space="preserve">The reason this matters for the site is scale. We are building toward a group of roughly thirty to fifty companies by the time we exit. We will not get there inside three workflows and their immediate neighbours. We will get there by going broad across the public sector, which means the founders we want to reach run companies in a much wider range of niches than our current portfolio suggests. The site should signal the breadth of the regulated public sector, not box us into the workflows we happen to have bought first.</w:t>
      </w:r>
    </w:p>
    <w:p>
      <w:pPr>
        <w:spacing w:after="140" w:line="276"/>
      </w:pPr>
      <w:r>
        <w:t xml:space="preserve">So the recognition test the site needs to trigger is not narrow. A founder running grant software should see themselves, but so should a founder in patient safety, in municipal case management, in citizen engagement, or in any regulation-coupled public sector niche. What unites them is the pattern, not the specific workflow: vertical software, public sector customer, work the customer is required to do. A founder who fits that pattern is who we want to hear from, whether or not we already own a company in their exact corner.</w:t>
      </w:r>
    </w:p>
    <w:p>
      <w:pPr>
        <w:pStyle w:val="Heading1"/>
      </w:pPr>
      <w:r>
        <w:t xml:space="preserve">How we choose: the selection filters</w:t>
      </w:r>
    </w:p>
    <w:p>
      <w:pPr>
        <w:spacing w:after="140" w:line="276"/>
      </w:pPr>
      <w:r>
        <w:t xml:space="preserve">Beyond fitting a priority workflow, a company we would take seriously shares a recognisable profile. These are the things a founder can check themselves against:</w:t>
      </w:r>
    </w:p>
    <w:p>
      <w:pPr>
        <w:pStyle w:val="ListParagraph"/>
        <w:numPr>
          <w:ilvl w:val="0"/>
          <w:numId w:val="2"/>
        </w:numPr>
        <w:spacing w:after="80" w:line="270"/>
      </w:pPr>
      <w:r>
        <w:rPr>
          <w:b/>
          <w:bCs/>
        </w:rPr>
        <w:t xml:space="preserve">Recurring revenue. </w:t>
      </w:r>
      <w:r>
        <w:t xml:space="preserve">Through subscription or annual licence, not one-off project and implementation fees.</w:t>
      </w:r>
    </w:p>
    <w:p>
      <w:pPr>
        <w:pStyle w:val="ListParagraph"/>
        <w:numPr>
          <w:ilvl w:val="0"/>
          <w:numId w:val="2"/>
        </w:numPr>
        <w:spacing w:after="80" w:line="270"/>
      </w:pPr>
      <w:r>
        <w:rPr>
          <w:b/>
          <w:bCs/>
        </w:rPr>
        <w:t xml:space="preserve">Real profitability. </w:t>
      </w:r>
      <w:r>
        <w:t xml:space="preserve">Profitable, or close enough that profitability is a choice rather than a hope. We are not buying cash-burning growth stories.</w:t>
      </w:r>
    </w:p>
    <w:p>
      <w:pPr>
        <w:pStyle w:val="ListParagraph"/>
        <w:numPr>
          <w:ilvl w:val="0"/>
          <w:numId w:val="2"/>
        </w:numPr>
        <w:spacing w:after="80" w:line="270"/>
      </w:pPr>
      <w:r>
        <w:rPr>
          <w:b/>
          <w:bCs/>
        </w:rPr>
        <w:t xml:space="preserve">A durable moat. </w:t>
      </w:r>
      <w:r>
        <w:t xml:space="preserve">A defensible position in its niche, ideally protected by regulation, by proprietary data built up over years, or by being woven into how the customer works day to day.</w:t>
      </w:r>
    </w:p>
    <w:p>
      <w:pPr>
        <w:pStyle w:val="ListParagraph"/>
        <w:numPr>
          <w:ilvl w:val="0"/>
          <w:numId w:val="2"/>
        </w:numPr>
        <w:spacing w:after="80" w:line="270"/>
      </w:pPr>
      <w:r>
        <w:rPr>
          <w:b/>
          <w:bCs/>
        </w:rPr>
        <w:t xml:space="preserve">The right ownership. </w:t>
      </w:r>
      <w:r>
        <w:t xml:space="preserve">Founder-owned, or a unit being carved out of a larger group. These are the situations where selling actually makes sense for the owner.</w:t>
      </w:r>
    </w:p>
    <w:p>
      <w:pPr>
        <w:pStyle w:val="ListParagraph"/>
        <w:numPr>
          <w:ilvl w:val="0"/>
          <w:numId w:val="2"/>
        </w:numPr>
        <w:spacing w:after="80" w:line="270"/>
      </w:pPr>
      <w:r>
        <w:rPr>
          <w:b/>
          <w:bCs/>
        </w:rPr>
        <w:t xml:space="preserve">Geography and maturity. </w:t>
      </w:r>
      <w:r>
        <w:t xml:space="preserve">Nordic first (Sweden, Finland, Denmark, Norway), with Germany and the UK in scope where the position justifies it. Established, with real customers and a trading history, not a pre-revenue idea.</w:t>
      </w:r>
    </w:p>
    <w:p>
      <w:pPr>
        <w:spacing w:after="140" w:line="276"/>
      </w:pPr>
      <w:r>
        <w:t xml:space="preserve">A consultancy, a hardware company, a consumer app, or an early-stage startup is not a fit, and the site should let those founders self-select out before they ever reach us. Saying clearly who we are not for is as valuable as describing who we are for.</w:t>
      </w:r>
    </w:p>
    <w:p>
      <w:r>
        <w:br w:type="page"/>
      </w:r>
    </w:p>
    <w:p>
      <w:pPr>
        <w:pStyle w:val="Heading1"/>
      </w:pPr>
      <w:r>
        <w:t xml:space="preserve">Why a founder should choose us: how we are different</w:t>
      </w:r>
    </w:p>
    <w:p>
      <w:pPr>
        <w:spacing w:after="140" w:line="276"/>
      </w:pPr>
      <w:r>
        <w:t xml:space="preserve">Once a founder is talking to us, they are usually weighing us against other buyers, often private equity firms or larger software groups. Five things separate us, and the site and the founder conversations should carry them.</w:t>
      </w:r>
    </w:p>
    <w:p>
      <w:pPr>
        <w:pStyle w:val="ListParagraph"/>
        <w:numPr>
          <w:ilvl w:val="0"/>
          <w:numId w:val="3"/>
        </w:numPr>
        <w:spacing w:after="100" w:line="270"/>
      </w:pPr>
      <w:r>
        <w:rPr>
          <w:b/>
          <w:bCs/>
        </w:rPr>
        <w:t xml:space="preserve">We are operators, not financial engineers. </w:t>
      </w:r>
      <w:r>
        <w:t xml:space="preserve">Many buyers in this space are financial buyers: they price a company, lever it, cut cost, and manage to an exit. We come from running and building software companies. We sit close to our operators, help with product, pricing, hiring, and commercial discipline, and we have done the operational work ourselves. A founder is joining people who have done the job, not a holding structure that will install a dashboard and ask for monthly numbers.</w:t>
      </w:r>
    </w:p>
    <w:p>
      <w:pPr>
        <w:pStyle w:val="ListParagraph"/>
        <w:numPr>
          <w:ilvl w:val="0"/>
          <w:numId w:val="3"/>
        </w:numPr>
        <w:spacing w:after="100" w:line="270"/>
      </w:pPr>
      <w:r>
        <w:rPr>
          <w:b/>
          <w:bCs/>
        </w:rPr>
        <w:t xml:space="preserve">We run a decentralised model: founders keep control. </w:t>
      </w:r>
      <w:r>
        <w:t xml:space="preserve">We do not absorb the companies we buy. Each keeps its brand, its office, its team, and ownership of its own P&amp;L. The founder still runs their company. Where the group can help, through shared customers, AI, central capabilities, the help is offered and the founder opts in; it is not forced on them from above. This is the opposite of the absorb-into-the-platform model some larger acquirers run, and for a founder who has built something they are proud of, keeping control of it while gaining a stronger backer is often the deciding factor.</w:t>
      </w:r>
    </w:p>
    <w:p>
      <w:pPr>
        <w:pStyle w:val="ListParagraph"/>
        <w:numPr>
          <w:ilvl w:val="0"/>
          <w:numId w:val="3"/>
        </w:numPr>
        <w:spacing w:after="100" w:line="270"/>
      </w:pPr>
      <w:r>
        <w:rPr>
          <w:b/>
          <w:bCs/>
        </w:rPr>
        <w:t xml:space="preserve">We are specialists in public sector. </w:t>
      </w:r>
      <w:r>
        <w:t xml:space="preserve">Public sector software is its own discipline: procurement rules, framework agreements, long sales cycles, regulated buyers who move slowly and stay forever. We do not buy across every vertical. We have concentrated in this one and intend to be the best in the Nordics at winning and keeping public sector customers. A founder gets a parent that understands their market rather than one learning it on their time.</w:t>
      </w:r>
    </w:p>
    <w:p>
      <w:pPr>
        <w:pStyle w:val="ListParagraph"/>
        <w:numPr>
          <w:ilvl w:val="0"/>
          <w:numId w:val="3"/>
        </w:numPr>
        <w:spacing w:after="100" w:line="270"/>
      </w:pPr>
      <w:r>
        <w:rPr>
          <w:b/>
          <w:bCs/>
        </w:rPr>
        <w:t xml:space="preserve">We grow through shared customers, not cost-cutting. </w:t>
      </w:r>
      <w:r>
        <w:t xml:space="preserve">Most of our companies sell to the same or adjacent customers: municipalities, regions, foundations, public agencies. That means when one company learns how to win a Swedish municipality or a Finnish wellbeing county, the others can use that. We grow companies by selling more to shared customers and opening new countries for proven products, not by stripping cost out. A founder's company gets bigger under us, it does not get thinner.</w:t>
      </w:r>
    </w:p>
    <w:p>
      <w:pPr>
        <w:pStyle w:val="ListParagraph"/>
        <w:numPr>
          <w:ilvl w:val="0"/>
          <w:numId w:val="3"/>
        </w:numPr>
        <w:spacing w:after="100" w:line="270"/>
      </w:pPr>
      <w:r>
        <w:rPr>
          <w:b/>
          <w:bCs/>
        </w:rPr>
        <w:t xml:space="preserve">We make our companies the best at AI in their market. </w:t>
      </w:r>
      <w:r>
        <w:t xml:space="preserve">AI is reshaping every software market, and founders in under-digitised niches feel it most. We are building the most AI-capable software group in our space, and we make our companies the best at AI in their market: in their product, their engineering, and their cost base. For a founder watching AI-native competitors appear, joining a group that makes them AI-ready is a stronger answer than facing it alone. The site should make this concrete, because it is one of the strongest reasons a founder picks us over a cheque.</w:t>
      </w:r>
    </w:p>
    <w:p>
      <w:pPr>
        <w:pStyle w:val="Heading1"/>
      </w:pPr>
      <w:r>
        <w:t xml:space="preserve">The two-part strategy: why now, and what we build</w:t>
      </w:r>
    </w:p>
    <w:p>
      <w:pPr>
        <w:spacing w:after="140" w:line="276"/>
      </w:pPr>
      <w:r>
        <w:t xml:space="preserve">Our pitch to a founder rests on two arguments. One is about timing: why act now. The other is about what we do after a deal: why choose us. The timing argument is largely internal context for you rather than site material, flagged where it matters; the value-creation story shapes both the site and the conversations that follow.</w:t>
      </w:r>
    </w:p>
    <w:p>
      <w:pPr>
        <w:pStyle w:val="Heading2"/>
      </w:pPr>
      <w:r>
        <w:t xml:space="preserve">Why now: the valuation reset and how we use it</w:t>
      </w:r>
    </w:p>
    <w:p>
      <w:pPr>
        <w:spacing w:after="140" w:line="276"/>
      </w:pPr>
      <w:r>
        <w:t xml:space="preserve">Software valuations reset sharply through 2025 and into 2026. AI changed how investors price software, and listed software multiples compressed hard. Privately held niche companies, the ones we buy, follow that shift with a lag of roughly twelve to eighteen months, because new deal benchmarks take time to accumulate. The practical consequence is a window: many founders of small public sector software companies have not registered the reset, or do not believe it applies to them, and are still anchored to peak multiples from a few years ago. Investors understood the correction faster than founders have.</w:t>
      </w:r>
    </w:p>
    <w:p>
      <w:pPr>
        <w:spacing w:after="140" w:line="276"/>
      </w:pPr>
      <w:r>
        <w:t xml:space="preserve">Our engagement model turns on this. We build a relationship with a founder first, CEO to CEO, and only once trust exists do we share an independently sourced market-intelligence briefing that lays out where software valuations actually sit now. It is never an opening move and never used as a crude negotiation lever. The point is to ground the conversation in the real market rather than a founder's outdated expectation, so they make an informed decision. A founder who sells in 2026 or 2027 is acting ahead of a fully reset private market; one who waits may face the same lower multiples later, without our partnership on the table. This timing argument is paired with the value-creation story below: the market briefing establishes why now, the value-creation plan establishes why us.</w:t>
      </w:r>
    </w:p>
    <w:p>
      <w:pPr>
        <w:spacing w:after="140" w:line="276"/>
      </w:pPr>
      <w:r>
        <w:t xml:space="preserve">You do not need to build any of this into the website, and you should not. The market-intelligence briefing is a private document we share selectively, and nothing about valuation or price belongs on a public page. This section is here so you understand how the funnel actually converts: the site starts a relationship, the real valuation conversation happens privately and later. Design the site to start good relationships, not to talk about price.</w:t>
      </w:r>
    </w:p>
    <w:p>
      <w:pPr>
        <w:pStyle w:val="Heading2"/>
      </w:pPr>
      <w:r>
        <w:t xml:space="preserve">What we build: the value-creation plan</w:t>
      </w:r>
    </w:p>
    <w:p>
      <w:pPr>
        <w:spacing w:after="140" w:line="276"/>
      </w:pPr>
      <w:r>
        <w:t xml:space="preserve">For every company we buy we run a plan with two tracks at once. The first is putting the foundations right: a clean view of the economics, sensible pricing, the commercial and reporting discipline owner-run companies often lack, security and compliance uplift, and the AI and engineering capability that lets a small team move faster. The Aspicore case is the proof point here, where better packaging and an AI feature lifted recurring revenue with no customer loss. The second track is growth: selling more to the customers the company already shares with the rest of the group, opening new Nordic countries for a product that already works in one, and adding adjacent workflows for the same buyer.</w:t>
      </w:r>
    </w:p>
    <w:p>
      <w:pPr>
        <w:spacing w:after="140" w:line="276"/>
      </w:pPr>
      <w:r>
        <w:t xml:space="preserve">Two parts of this plan are worth making concrete on the site. We bring central AI capability that a single small company could never build or afford alone, and founders typically reinvest part of their proceeds into the group, so they share in the value of the whole platform rather than just selling and leaving. A founder is not cashing out of a shrinking asset; they are rolling into a larger one they help build. The message the site needs to carry is plain: we keep the company, the team and the name, we invest in product and growth, and in most cases the founder stays and shares in the upside.</w:t>
      </w:r>
    </w:p>
    <w:p>
      <w:pPr>
        <w:pStyle w:val="Heading1"/>
      </w:pPr>
      <w:r>
        <w:t xml:space="preserve">How a founder reaches us, and what the site must do</w:t>
      </w:r>
    </w:p>
    <w:p>
      <w:pPr>
        <w:spacing w:after="140" w:line="276"/>
      </w:pPr>
      <w:r>
        <w:t xml:space="preserve">Most of our pipeline today comes from us going out and finding companies through research and direct, personal outreach. We do not run mass campaigns. When we approach a founder it is because we already understand their business and believe there is a fit, and the first contact is a conversation, not an offer. Inbound is different and valuable: a founder who comes to us has usually already decided to think about their options, and arrives understanding what we do. Those are among our best conversations, and the site is how we turn visibility into them. Pulling the brief together, here is what the site and inbound process need to do, in order:</w:t>
      </w:r>
    </w:p>
    <w:p>
      <w:pPr>
        <w:pStyle w:val="ListParagraph"/>
        <w:numPr>
          <w:ilvl w:val="0"/>
          <w:numId w:val="4"/>
        </w:numPr>
        <w:spacing w:after="100" w:line="270"/>
      </w:pPr>
      <w:r>
        <w:rPr>
          <w:b/>
          <w:bCs/>
        </w:rPr>
        <w:t xml:space="preserve">Make the right founder self-identify. </w:t>
      </w:r>
      <w:r>
        <w:t xml:space="preserve">A founder running regulation-coupled public sector software should read the site and think, that is my company and these people understand my market, whether or not we already own a company in their exact niche. Specificity does this: describing the pattern and the range of workflows we pursue, not just the three we have bought into.</w:t>
      </w:r>
    </w:p>
    <w:p>
      <w:pPr>
        <w:pStyle w:val="ListParagraph"/>
        <w:numPr>
          <w:ilvl w:val="0"/>
          <w:numId w:val="4"/>
        </w:numPr>
        <w:spacing w:after="100" w:line="270"/>
      </w:pPr>
      <w:r>
        <w:rPr>
          <w:b/>
          <w:bCs/>
        </w:rPr>
        <w:t xml:space="preserve">Land the reasons to choose us. </w:t>
      </w:r>
      <w:r>
        <w:t xml:space="preserve">Carry the five differentiators plainly: operators not financiers, a decentralised model where founders keep control and synergies are opt-in, public sector specialists, growth through shared customers, and best-at-AI. These are the reasons a founder picks us over a higher number from a financial buyer.</w:t>
      </w:r>
    </w:p>
    <w:p>
      <w:pPr>
        <w:pStyle w:val="ListParagraph"/>
        <w:numPr>
          <w:ilvl w:val="0"/>
          <w:numId w:val="4"/>
        </w:numPr>
        <w:spacing w:after="100" w:line="270"/>
      </w:pPr>
      <w:r>
        <w:rPr>
          <w:b/>
          <w:bCs/>
        </w:rPr>
        <w:t xml:space="preserve">Filter out poor fits. </w:t>
      </w:r>
      <w:r>
        <w:t xml:space="preserve">A consultancy, a consumer app, or an early-stage startup should see quickly that we are not their buyer, so the enquiries we get are worth our time.</w:t>
      </w:r>
    </w:p>
    <w:p>
      <w:pPr>
        <w:pStyle w:val="ListParagraph"/>
        <w:numPr>
          <w:ilvl w:val="0"/>
          <w:numId w:val="4"/>
        </w:numPr>
        <w:spacing w:after="100" w:line="270"/>
      </w:pPr>
      <w:r>
        <w:rPr>
          <w:b/>
          <w:bCs/>
        </w:rPr>
        <w:t xml:space="preserve">Reduce the fear of selling. </w:t>
      </w:r>
      <w:r>
        <w:t xml:space="preserve">Selling a company you built is daunting. Show that founders keep their teams, their customers, and their name, usually stay on, and deal directly with people who have done the job, not a corporate process.</w:t>
      </w:r>
    </w:p>
    <w:p>
      <w:pPr>
        <w:pStyle w:val="ListParagraph"/>
        <w:numPr>
          <w:ilvl w:val="0"/>
          <w:numId w:val="4"/>
        </w:numPr>
        <w:spacing w:after="100" w:line="270"/>
      </w:pPr>
      <w:r>
        <w:rPr>
          <w:b/>
          <w:bCs/>
        </w:rPr>
        <w:t xml:space="preserve">Make the first contact easy and safe. </w:t>
      </w:r>
      <w:r>
        <w:t xml:space="preserve">The path from interested to talking should be short, confidential, and low-commitment, reaching a real decision-maker without exposing sensitive information up front.</w:t>
      </w:r>
    </w:p>
    <w:p>
      <w:pPr>
        <w:pStyle w:val="Heading1"/>
      </w:pPr>
      <w:r>
        <w:t xml:space="preserve">What success looks like</w:t>
      </w:r>
    </w:p>
    <w:p>
      <w:pPr>
        <w:spacing w:after="140" w:line="276"/>
      </w:pPr>
      <w:r>
        <w:t xml:space="preserve">We will not judge this by traffic or raw lead count. A good outcome is a steady trickle of enquiries from founders who genuinely fit the workflows and profile above, who arrive understanding what we do and reassured about what joining us means. One well-qualified conversation a quarter with the right founder is worth more than a hundred enquiries we would decline at first contact. If the language on the site is specific enough that the right founder recognises themselves and the wrong one moves on, the rest of the funnel works. That specificity is the brief, and this document is the raw material for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CONFIDENTIAL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6"/>
      </w:pBdr>
      <w:tabs>
        <w:tab w:val="right" w:pos="9360"/>
      </w:tabs>
    </w:pPr>
    <w:r>
      <w:rPr>
        <w:b/>
        <w:bCs/>
        <w:color w:val="1F4E79"/>
        <w:sz w:val="16"/>
        <w:szCs w:val="16"/>
      </w:rPr>
      <w:t xml:space="preserve">PubliX Group AB</w:t>
    </w:r>
    <w:r>
      <w:rPr>
        <w:color w:val="808080"/>
        <w:sz w:val="16"/>
        <w:szCs w:val="16"/>
      </w:rPr>
      <w:t xml:space="preserve">	M&amp;A Approach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2026-06-06T19:47:43.081Z</dcterms:created>
  <dcterms:modified xsi:type="dcterms:W3CDTF">2026-06-06T19:47:43.081Z</dcterms:modified>
</cp:coreProperties>
</file>

<file path=docProps/custom.xml><?xml version="1.0" encoding="utf-8"?>
<Properties xmlns="http://schemas.openxmlformats.org/officeDocument/2006/custom-properties" xmlns:vt="http://schemas.openxmlformats.org/officeDocument/2006/docPropsVTypes"/>
</file>