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Narrow" w:hAnsi="Arial Narrow"/>
          <w:b/>
          <w:sz w:val="48"/>
        </w:rPr>
        <w:t>RECURSO DOCUMENTAL COMPLEMENTARIO</w:t>
      </w:r>
    </w:p>
    <w:p>
      <w:pPr>
        <w:jc w:val="center"/>
      </w:pPr>
      <w:r>
        <w:rPr>
          <w:rFonts w:ascii="Arial Narrow" w:hAnsi="Arial Narrow"/>
          <w:b/>
          <w:sz w:val="36"/>
        </w:rPr>
        <w:t>VOLUMEN XI — BIOÉTICA</w:t>
      </w:r>
    </w:p>
    <w:p>
      <w:pPr>
        <w:jc w:val="center"/>
      </w:pPr>
      <w:r>
        <w:rPr>
          <w:rFonts w:ascii="Arial Narrow" w:hAnsi="Arial Narrow"/>
          <w:sz w:val="22"/>
        </w:rPr>
        <w:t>RDC-XI v1.0 — Documento de soporte para B10</w:t>
      </w:r>
    </w:p>
    <w:p>
      <w:r>
        <w:t>Documento construido a partir del expediente “Lex y el Laboratorio de Bioética.pdf” y de una verificación externa selectiva de fuentes institucionales y académicas. Las partes conceptuales del proyecto se conservan con su terminología y alcance; las precisiones históricas o bibliográficas nuevas se identifican como control documental.</w:t>
      </w:r>
    </w:p>
    <w:p>
      <w:pPr>
        <w:pStyle w:val="Heading1"/>
      </w:pPr>
      <w:r>
        <w:t>1. Propósito y estado documental</w:t>
      </w:r>
    </w:p>
    <w:p>
      <w:r>
        <w:t>Este recurso complementa la infografía del Volumen XI — Bioética. Su función es ampliar la trazabilidad documental de la pieza: fuentes maestras, antecedentes históricos, pluralidad metodológica, límites del algoritmo C³ y criterios de verificación.</w:t>
      </w:r>
    </w:p>
    <w:p>
      <w:r>
        <w:t>Estado: versión de trabajo documental cerrada para alimentar el bloque B10, sujeta únicamente a control de materialización de la URL y del código QR.</w:t>
      </w:r>
    </w:p>
    <w:p>
      <w:r>
        <w:t>Regla de integridad: este recurso no pretende sustituir la Redacción Maestra V2.1 ni crear una nueva definición de Bioética. El documento base del proyecto conserva la autoridad sobre la arquitectura conceptual y editorial.</w:t>
      </w:r>
    </w:p>
    <w:p>
      <w:pPr>
        <w:pStyle w:val="Heading1"/>
      </w:pPr>
      <w:r>
        <w:t>2. ¿Qué es la Bioética?</w:t>
      </w:r>
    </w:p>
    <w:p>
      <w:r>
        <w:t>La documentación del proyecto adopta una noción operativa, no una definición universal. El expediente formula la Bioética como un campo interdisciplinario de ética aplicada que reflexiona, analiza y delibera sobre problemas éticos relacionados con la vida, la salud, las ciencias de la vida y sus aplicaciones, considerando valores, principios, derechos, responsabilidades, circunstancias y consecuencias, y pudiendo formular orientaciones, recomendaciones o planteamientos normativos según el contexto.</w:t>
      </w:r>
    </w:p>
    <w:p>
      <w:r>
        <w:t>La CONBIOÉTICA señala expresamente que no existe una definición universal única y utiliza una noción operativa para trasladar el concepto al terreno práctico.</w:t>
      </w:r>
    </w:p>
    <w:p>
      <w:r>
        <w:t>Límite editorial: Bioética no debe reducirse a ética médica, ética clínica, principialismo, derecho sanitario, deontología o una sola metodología.</w:t>
      </w:r>
    </w:p>
    <w:p>
      <w:pPr>
        <w:pStyle w:val="Heading1"/>
      </w:pPr>
      <w:r>
        <w:t>3. ¿Por qué existe la Bioética?</w:t>
      </w:r>
    </w:p>
    <w:p>
      <w:r>
        <w:t>El expediente identifica como núcleo explicativo el aumento de la capacidad humana de intervenir sobre la vida mediante ciencia, medicina y tecnología, junto con riesgos, conflictos de valores, desigualdades y decisiones que no pueden resolverse únicamente mediante conocimiento científico o competencia técnica.</w:t>
      </w:r>
    </w:p>
    <w:p>
      <w:r>
        <w:t>Cadena pedagógica aprobada:</w:t>
      </w:r>
      <w:r>
        <w:br/>
      </w:r>
      <w:r>
        <w:t>Mayor capacidad de intervención → mayor responsabilidad → mayor complejidad de los conflictos → necesidad de deliberación → Bioética.</w:t>
      </w:r>
    </w:p>
    <w:p>
      <w:r>
        <w:t>La cadena es pedagógica y causal en sentido explicativo; no es una ecuación matemática ni una afirmación de causalidad única.</w:t>
      </w:r>
    </w:p>
    <w:p>
      <w:pPr>
        <w:pStyle w:val="Heading1"/>
      </w:pPr>
      <w:r>
        <w:t>4. ¿Cómo funciona?</w:t>
      </w:r>
    </w:p>
    <w:p>
      <w:r>
        <w:t>La arquitectura del proyecto coloca la deliberación como mecanismo relevante, pero después de la auditoría metodológica se rechazó presentar la deliberación como el único método universal de la Bioética.</w:t>
      </w:r>
    </w:p>
    <w:p>
      <w:r>
        <w:t>El proceso operativo desarrollado en el expediente incluye:</w:t>
      </w:r>
      <w:r>
        <w:br/>
      </w:r>
      <w:r>
        <w:t>1) hechos;</w:t>
      </w:r>
      <w:r>
        <w:br/>
      </w:r>
      <w:r>
        <w:t>2) problema ético;</w:t>
      </w:r>
      <w:r>
        <w:br/>
      </w:r>
      <w:r>
        <w:t>3) personas/afectados;</w:t>
      </w:r>
      <w:r>
        <w:br/>
      </w:r>
      <w:r>
        <w:t>4) valores, derechos y responsabilidades;</w:t>
      </w:r>
      <w:r>
        <w:br/>
      </w:r>
      <w:r>
        <w:t>5) circunstancias;</w:t>
      </w:r>
      <w:r>
        <w:br/>
      </w:r>
      <w:r>
        <w:t>6) alternativas;</w:t>
      </w:r>
      <w:r>
        <w:br/>
      </w:r>
      <w:r>
        <w:t>7) consecuencias;</w:t>
      </w:r>
      <w:r>
        <w:br/>
      </w:r>
      <w:r>
        <w:t>8) deliberación;</w:t>
      </w:r>
      <w:r>
        <w:br/>
      </w:r>
      <w:r>
        <w:t>9) justificación;</w:t>
      </w:r>
      <w:r>
        <w:br/>
      </w:r>
      <w:r>
        <w:t>10) conclusión o recomendación.</w:t>
      </w:r>
    </w:p>
    <w:p>
      <w:r>
        <w:t>La secuencia debe entenderse como estructura de análisis y no como receta universal rígida.</w:t>
      </w:r>
    </w:p>
    <w:p>
      <w:pPr>
        <w:pStyle w:val="Heading1"/>
      </w:pPr>
      <w:r>
        <w:t>5. Pluralidad metodológica</w:t>
      </w:r>
    </w:p>
    <w:p>
      <w:r>
        <w:t>El expediente identifica, entre otros, los siguientes enfoques:</w:t>
      </w:r>
      <w:r>
        <w:br/>
      </w:r>
      <w:r>
        <w:t>• principialismo;</w:t>
      </w:r>
      <w:r>
        <w:br/>
      </w:r>
      <w:r>
        <w:t>• casuística;</w:t>
      </w:r>
      <w:r>
        <w:br/>
      </w:r>
      <w:r>
        <w:t>• ética de la virtud;</w:t>
      </w:r>
      <w:r>
        <w:br/>
      </w:r>
      <w:r>
        <w:t>• ética del cuidado;</w:t>
      </w:r>
      <w:r>
        <w:br/>
      </w:r>
      <w:r>
        <w:t>• enfoques basados en derechos humanos;</w:t>
      </w:r>
      <w:r>
        <w:br/>
      </w:r>
      <w:r>
        <w:t>• deliberación.</w:t>
      </w:r>
    </w:p>
    <w:p>
      <w:r>
        <w:t>La regla metodológica central es que ninguno de ellos agota por sí mismo la Bioética.</w:t>
      </w:r>
    </w:p>
    <w:p>
      <w:r>
        <w:t>Principialismo: autonomía, beneficencia, no maleficencia y justicia.</w:t>
      </w:r>
      <w:r>
        <w:br/>
      </w:r>
      <w:r>
        <w:t>Casuística: comparación de casos y circunstancias relevantes.</w:t>
      </w:r>
      <w:r>
        <w:br/>
      </w:r>
      <w:r>
        <w:t>Ética de la virtud: carácter o virtudes requeridas.</w:t>
      </w:r>
      <w:r>
        <w:br/>
      </w:r>
      <w:r>
        <w:t>Ética del cuidado: relaciones, dependencia, vulnerabilidad, contexto y cuidado.</w:t>
      </w:r>
      <w:r>
        <w:br/>
      </w:r>
      <w:r>
        <w:t>Derechos humanos: dignidad, derechos, libertades, igualdad y no discriminación.</w:t>
      </w:r>
      <w:r>
        <w:br/>
      </w:r>
      <w:r>
        <w:t>Deliberación: hechos, valores, circunstancias, alternativas, consecuencias y argumentos.</w:t>
      </w:r>
    </w:p>
    <w:p>
      <w:pPr>
        <w:pStyle w:val="Heading1"/>
      </w:pPr>
      <w:r>
        <w:t>6. C³ — identidad metodológica</w:t>
      </w:r>
    </w:p>
    <w:p>
      <w:r>
        <w:t>El expediente define C³ como una arquitectura metodológica abierta para organizar el análisis y la deliberación bioética, capaz de incorporar distintos marcos éticos según la naturaleza, contexto y exigencias del problema.</w:t>
      </w:r>
    </w:p>
    <w:p>
      <w:r>
        <w:t>C³ NO es:</w:t>
      </w:r>
      <w:r>
        <w:br/>
      </w:r>
      <w:r>
        <w:t>• una teoría ética particular;</w:t>
      </w:r>
      <w:r>
        <w:br/>
      </w:r>
      <w:r>
        <w:t>• un algoritmo universal de Bioética;</w:t>
      </w:r>
      <w:r>
        <w:br/>
      </w:r>
      <w:r>
        <w:t>• un sistema principialista obligatorio;</w:t>
      </w:r>
      <w:r>
        <w:br/>
      </w:r>
      <w:r>
        <w:t>• una metodología casuística obligatoria;</w:t>
      </w:r>
      <w:r>
        <w:br/>
      </w:r>
      <w:r>
        <w:t>• una teoría de derechos;</w:t>
      </w:r>
      <w:r>
        <w:br/>
      </w:r>
      <w:r>
        <w:t>• una ética del cuidado;</w:t>
      </w:r>
      <w:r>
        <w:br/>
      </w:r>
      <w:r>
        <w:t>• un mecanismo que determina automáticamente la decisión correcta.</w:t>
      </w:r>
    </w:p>
    <w:p>
      <w:r>
        <w:t>C³ SÍ puede exigir reglas de procedimiento: claridad de los hechos, distinción entre hechos y juicios, identificación de afectados, reconocimiento de valores y derechos pertinentes, exploración de alternativas, consideración de consecuencias, exposición de razones y justificación de la conclusión.</w:t>
      </w:r>
    </w:p>
    <w:p>
      <w:pPr>
        <w:pStyle w:val="Heading1"/>
      </w:pPr>
      <w:r>
        <w:t>7. Principio de neutralidad metodológica C³</w:t>
      </w:r>
    </w:p>
    <w:p>
      <w:r>
        <w:t>El expediente establece:</w:t>
      </w:r>
    </w:p>
    <w:p>
      <w:r>
        <w:t>“El algoritmo C³ organiza el proceso de análisis y deliberación bioética, pero no prescribe una teoría ética única ni determina de antemano qué valores, principios, consecuencias o marcos deben prevalecer en todos los casos.”</w:t>
      </w:r>
    </w:p>
    <w:p>
      <w:r>
        <w:t>La neutralidad debe entenderse como apertura metodológica, no como vacío axiológico. C³ incorpora reglas procedimentales de calidad, pero no fija una regla moral sustantiva universal que determine de antemano el resultado.</w:t>
      </w:r>
    </w:p>
    <w:p>
      <w:pPr>
        <w:pStyle w:val="Heading1"/>
      </w:pPr>
      <w:r>
        <w:t>8. Lentes metodológicas activables</w:t>
      </w:r>
    </w:p>
    <w:p>
      <w:r>
        <w:t>La arquitectura final propuesta es:</w:t>
      </w:r>
    </w:p>
    <w:p>
      <w:r>
        <w:t>ESTRUCTURA BASE + LENTES METODOLÓGICAS ACTIVABLES</w:t>
      </w:r>
    </w:p>
    <w:p>
      <w:r>
        <w:t>Las lentes no son cinco pasos obligatorios. Se activan cuando aportan una pregunta, perspectiva o criterio pertinente.</w:t>
      </w:r>
    </w:p>
    <w:p>
      <w:r>
        <w:t>Preguntas de activación:</w:t>
      </w:r>
      <w:r>
        <w:br/>
      </w:r>
      <w:r>
        <w:t>• ¿Existe conflicto entre principios? → Principialismo.</w:t>
      </w:r>
      <w:r>
        <w:br/>
      </w:r>
      <w:r>
        <w:t>• ¿Hay casos comparables y circunstancias relevantes? → Casuística.</w:t>
      </w:r>
      <w:r>
        <w:br/>
      </w:r>
      <w:r>
        <w:t>• ¿Hay derechos fundamentales especialmente comprometidos? → Derechos humanos.</w:t>
      </w:r>
      <w:r>
        <w:br/>
      </w:r>
      <w:r>
        <w:t>• ¿Existen relaciones de dependencia o vulnerabilidad relevantes? → Ética del cuidado.</w:t>
      </w:r>
      <w:r>
        <w:br/>
      </w:r>
      <w:r>
        <w:t>• ¿Necesitamos integrar y ponderar razones? → Deliberación.</w:t>
      </w:r>
    </w:p>
    <w:p>
      <w:r>
        <w:t>Regla: un marco se incorpora por pertinencia, no simplemente por pertenecer al repertorio C³.</w:t>
      </w:r>
    </w:p>
    <w:p>
      <w:pPr>
        <w:pStyle w:val="Heading1"/>
      </w:pPr>
      <w:r>
        <w:t>9. ¿Quién decide?</w:t>
      </w:r>
    </w:p>
    <w:p>
      <w:r>
        <w:t>C³ puede conducir a una conclusión razonada o recomendación fundamentada, pero no se atribuye autoridad decisoria.</w:t>
      </w:r>
    </w:p>
    <w:p>
      <w:r>
        <w:t>La decisión final depende del contexto y de quienes poseen la responsabilidad profesional, autoridad institucional, capacidad jurídica y participación legítima correspondientes.</w:t>
      </w:r>
    </w:p>
    <w:p>
      <w:r>
        <w:t>En el caso clínico, C³ puede ayudar a estructurar la deliberación; no debe dictar la decisión clínica.</w:t>
      </w:r>
    </w:p>
    <w:p>
      <w:pPr>
        <w:pStyle w:val="Heading1"/>
      </w:pPr>
      <w:r>
        <w:t>10. Frontera con el intérprete médico</w:t>
      </w:r>
    </w:p>
    <w:p>
      <w:r>
        <w:t>El expediente establece una frontera profesional explícita:</w:t>
      </w:r>
    </w:p>
    <w:p>
      <w:r>
        <w:t>Reconocer un problema bioético no equivale a resolverlo.</w:t>
      </w:r>
    </w:p>
    <w:p>
      <w:r>
        <w:t>El intérprete puede:</w:t>
      </w:r>
      <w:r>
        <w:br/>
      </w:r>
      <w:r>
        <w:t>• transmitir;</w:t>
      </w:r>
      <w:r>
        <w:br/>
      </w:r>
      <w:r>
        <w:t>• aclarar;</w:t>
      </w:r>
      <w:r>
        <w:br/>
      </w:r>
      <w:r>
        <w:t>• preservar;</w:t>
      </w:r>
      <w:r>
        <w:br/>
      </w:r>
      <w:r>
        <w:t>• contextualizar lingüísticamente.</w:t>
      </w:r>
    </w:p>
    <w:p>
      <w:r>
        <w:t>No debe:</w:t>
      </w:r>
      <w:r>
        <w:br/>
      </w:r>
      <w:r>
        <w:t>• decidir;</w:t>
      </w:r>
      <w:r>
        <w:br/>
      </w:r>
      <w:r>
        <w:t>• persuadir;</w:t>
      </w:r>
      <w:r>
        <w:br/>
      </w:r>
      <w:r>
        <w:t>• recomendar una conducta clínica;</w:t>
      </w:r>
      <w:r>
        <w:br/>
      </w:r>
      <w:r>
        <w:t>• imponer valores;</w:t>
      </w:r>
      <w:r>
        <w:br/>
      </w:r>
      <w:r>
        <w:t>• asumir la deliberación del equipo.</w:t>
      </w:r>
    </w:p>
    <w:p>
      <w:r>
        <w:t>El intérprete puede facilitar la comunicación que permite deliberar sin convertirse por ello en el deliberador responsable de la decisión.</w:t>
      </w:r>
    </w:p>
    <w:p>
      <w:pPr>
        <w:pStyle w:val="Heading1"/>
      </w:pPr>
      <w:r>
        <w:t>11. Cronología histórica de control</w:t>
      </w:r>
    </w:p>
    <w:p>
      <w:r>
        <w:t>La cronología del proyecto se presenta como evolución y convergencia, no como nacimiento puntual:</w:t>
      </w:r>
    </w:p>
    <w:p>
      <w:r>
        <w:t>1927 — Fritz Jahr: uso temprano documentado de “Bio-Ethik”.</w:t>
      </w:r>
      <w:r>
        <w:br/>
      </w:r>
      <w:r>
        <w:t>1947–1964 — Núremberg, derechos humanos, Helsinki y otros desarrollos relevantes para investigación y derechos.</w:t>
      </w:r>
      <w:r>
        <w:br/>
      </w:r>
      <w:r>
        <w:t>1969 — The Hastings Center: institucionalización de un enfoque interdisciplinario.</w:t>
      </w:r>
      <w:r>
        <w:br/>
      </w:r>
      <w:r>
        <w:t>1970 — Van Rensselaer Potter: incorporación del concepto al discurso académico contemporáneo mediante “Bioethics, the Science of Survival”.</w:t>
      </w:r>
      <w:r>
        <w:br/>
      </w:r>
      <w:r>
        <w:t>1971 — Kennedy Institute: consolidación académica en Georgetown; la documentación institucional de CONBIOÉTICA actual consultada señala la creación del Instituto Joseph and Ross Kennedy en 1972, por lo que el expediente editorial conserva la necesidad de tratar este punto con precisión histórica.</w:t>
      </w:r>
      <w:r>
        <w:br/>
      </w:r>
      <w:r>
        <w:t>1979 — Beauchamp y Childress: consolidación del principialismo como corriente influyente.</w:t>
      </w:r>
      <w:r>
        <w:br/>
      </w:r>
      <w:r>
        <w:t>1978–1980s — expansión institucional y metodológica.</w:t>
      </w:r>
      <w:r>
        <w:br/>
      </w:r>
      <w:r>
        <w:t>2005 — UNESCO: Declaración Universal sobre Bioética y Derechos Humanos.</w:t>
      </w:r>
      <w:r>
        <w:br/>
      </w:r>
      <w:r>
        <w:t>Contemporaneidad — pluralidad metodológica, interdisciplinariedad, derechos, salud pública, tecnología y dimensiones globales.</w:t>
      </w:r>
    </w:p>
    <w:p>
      <w:pPr>
        <w:pStyle w:val="Heading1"/>
      </w:pPr>
      <w:r>
        <w:t>12. Fuentes maestras verificadas</w:t>
      </w:r>
    </w:p>
    <w:p>
      <w:r>
        <w:t>Fuentes institucionales y académicas verificadas para este recurso:</w:t>
      </w:r>
      <w:r>
        <w:br/>
      </w:r>
      <w:r>
        <w:t>1. Comisión Nacional de Bioética (CONBIOÉTICA), “¿Qué es Bioética?”.</w:t>
      </w:r>
      <w:r>
        <w:br/>
      </w:r>
      <w:r>
        <w:t>2. UNESCO, Universal Declaration on Bioethics and Human Rights.</w:t>
      </w:r>
      <w:r>
        <w:br/>
      </w:r>
      <w:r>
        <w:t>3. The Hastings Center, Bioethics Timeline.</w:t>
      </w:r>
      <w:r>
        <w:br/>
      </w:r>
      <w:r>
        <w:t>4. Jonsen, Albert R. (1998), The Birth of Bioethics, Oxford University Press.</w:t>
      </w:r>
      <w:r>
        <w:br/>
      </w:r>
      <w:r>
        <w:t>5. Potter, Van Rensselaer (1970), “Bioethics, the Science of Survival”, Perspectives in Biology and Medicine, 14(1), 127–153, DOI 10.1353/pbm.1970.0015.</w:t>
      </w:r>
      <w:r>
        <w:br/>
      </w:r>
      <w:r>
        <w:t>6. Jahr, Fritz (1927), “Bio-Ethik. Eine Umschau über die ethischen Beziehungen des Menschen zu Tier und Pflanze”, Kosmos, 24(1), 2–4.</w:t>
      </w:r>
      <w:r>
        <w:br/>
      </w:r>
      <w:r>
        <w:t>7. Beauchamp, Tom L., &amp; Childress, James F. (2019), Principles of Biomedical Ethics, 8th ed., Oxford University Press.</w:t>
      </w:r>
    </w:p>
    <w:p>
      <w:r>
        <w:t>Nota: el expediente interno del proyecto también identifica Georgetown/Kennedy Institute, Reich y otros antecedentes. En esta versión B10 se conserva la distinción entre fuentes maestras verificadas y antecedentes mencionados en el expediente que requieren una ficha bibliográfica específica antes de ser tratados como referencias principales.</w:t>
      </w:r>
    </w:p>
    <w:p>
      <w:pPr>
        <w:pStyle w:val="Heading1"/>
      </w:pPr>
      <w:r>
        <w:t>13. Control de trazabilidad</w:t>
      </w:r>
    </w:p>
    <w:p>
      <w:r>
        <w:t>Criterio de verificación:</w:t>
      </w:r>
      <w:r>
        <w:br/>
      </w:r>
      <w:r>
        <w:t>A. La afirmación debe poder localizarse en el expediente del proyecto.</w:t>
      </w:r>
      <w:r>
        <w:br/>
      </w:r>
      <w:r>
        <w:t>B. La fuente externa debe ser identificable.</w:t>
      </w:r>
      <w:r>
        <w:br/>
      </w:r>
      <w:r>
        <w:t>C. La fuente debe sostener el alcance de la afirmación, no solamente compartir palabras clave.</w:t>
      </w:r>
      <w:r>
        <w:br/>
      </w:r>
      <w:r>
        <w:t>D. Las afirmaciones históricas sensibles deben evitar lenguaje de prioridad absoluta cuando la evidencia no lo permita.</w:t>
      </w:r>
      <w:r>
        <w:br/>
      </w:r>
      <w:r>
        <w:t>E. La representación gráfica no debe introducir afirmaciones que el texto no autoriza.</w:t>
      </w:r>
    </w:p>
    <w:p>
      <w:r>
        <w:t>Resultado de la verificación:</w:t>
      </w:r>
      <w:r>
        <w:br/>
      </w:r>
      <w:r>
        <w:t>• Definición operativa y pluralidad: sustentadas.</w:t>
      </w:r>
      <w:r>
        <w:br/>
      </w:r>
      <w:r>
        <w:t>• Alcance más allá de ética clínica: sustentado.</w:t>
      </w:r>
      <w:r>
        <w:br/>
      </w:r>
      <w:r>
        <w:t>• Derechos humanos: sustentado.</w:t>
      </w:r>
      <w:r>
        <w:br/>
      </w:r>
      <w:r>
        <w:t>• Hastings Center 1969: sustentado.</w:t>
      </w:r>
      <w:r>
        <w:br/>
      </w:r>
      <w:r>
        <w:t>• Potter 1970: sustentado.</w:t>
      </w:r>
      <w:r>
        <w:br/>
      </w:r>
      <w:r>
        <w:t>• Jahr 1927: sustentado.</w:t>
      </w:r>
      <w:r>
        <w:br/>
      </w:r>
      <w:r>
        <w:t>• Principialismo como corriente, no como totalidad: sustentado.</w:t>
      </w:r>
      <w:r>
        <w:br/>
      </w:r>
      <w:r>
        <w:t>• C³ como arquitectura metodológicamente abierta: sustentado por el expediente.</w:t>
      </w:r>
      <w:r>
        <w:br/>
      </w:r>
      <w:r>
        <w:t>• C³ como teoría ética universal: rechazado por el propio diseño y auditorías del proyecto.</w:t>
      </w:r>
    </w:p>
    <w:p>
      <w:pPr>
        <w:pStyle w:val="Heading1"/>
      </w:pPr>
      <w:r>
        <w:t>14. Integridad y límites del recurso</w:t>
      </w:r>
    </w:p>
    <w:p>
      <w:r>
        <w:t>Este documento es un recurso documental complementario, no una nueva Redacción Maestra.</w:t>
      </w:r>
    </w:p>
    <w:p>
      <w:r>
        <w:t>No debe:</w:t>
      </w:r>
      <w:r>
        <w:br/>
      </w:r>
      <w:r>
        <w:t>• sustituir el texto de la infografía;</w:t>
      </w:r>
      <w:r>
        <w:br/>
      </w:r>
      <w:r>
        <w:t>• convertir C³ en una doctrina;</w:t>
      </w:r>
      <w:r>
        <w:br/>
      </w:r>
      <w:r>
        <w:t>• presentar una sola escuela como “la Bioética”;</w:t>
      </w:r>
      <w:r>
        <w:br/>
      </w:r>
      <w:r>
        <w:t>• atribuir a una fuente una afirmación que no respalda;</w:t>
      </w:r>
      <w:r>
        <w:br/>
      </w:r>
      <w:r>
        <w:t>• transformar una recomendación pedagógica del proyecto en consenso universal.</w:t>
      </w:r>
    </w:p>
    <w:p>
      <w:r>
        <w:t>El recurso debe conservar trazabilidad de versión y fecha. Cualquier modificación sustantiva exige una nueva versión documental y una nueva verificación del QR.</w:t>
      </w:r>
    </w:p>
    <w:p>
      <w:pPr>
        <w:pStyle w:val="Heading1"/>
      </w:pPr>
      <w:r>
        <w:t>15. Estado para B10</w:t>
      </w:r>
    </w:p>
    <w:p>
      <w:r>
        <w:t>B10 — función: transferencia documental.</w:t>
      </w:r>
      <w:r>
        <w:br/>
      </w:r>
      <w:r>
        <w:t>B10 — texto visible: “RECURSO DOCUMENTAL COMPLEMENTARIO — Fuentes, antecedentes y metodología del Volumen XI — Bioética”.</w:t>
      </w:r>
      <w:r>
        <w:br/>
      </w:r>
      <w:r>
        <w:t>B10 — contenido: este documento.</w:t>
      </w:r>
      <w:r>
        <w:br/>
      </w:r>
      <w:r>
        <w:t>B10 — URL: pendiente de materialización en un destino estable.</w:t>
      </w:r>
      <w:r>
        <w:br/>
      </w:r>
      <w:r>
        <w:t>B10 — QR: no generar hasta verificar la URL final.</w:t>
      </w:r>
    </w:p>
    <w:p>
      <w:r>
        <w:t>Secuencia de cierre:</w:t>
      </w:r>
      <w:r>
        <w:br/>
      </w:r>
      <w:r>
        <w:t>materializar recurso → publicar en destino estable → comprobar acceso → generar QR → escanear → comprobar destino → registrar evidencia → congelar B10.</w:t>
      </w:r>
    </w:p>
    <w:p>
      <w:r>
        <w:br w:type="page"/>
      </w:r>
    </w:p>
    <w:p>
      <w:pPr>
        <w:pStyle w:val="Heading1"/>
      </w:pPr>
      <w:r>
        <w:t>16. Referencias y enlaces de verificación</w:t>
      </w:r>
    </w:p>
    <w:p>
      <w:pPr>
        <w:pStyle w:val="ListNumber"/>
      </w:pPr>
      <w:r>
        <w:t xml:space="preserve">R1. CONBIOÉTICA. “¿Qué es Bioética?” Gobierno de México. </w:t>
      </w:r>
      <w:r>
        <w:t>https://www.conbioetica-mexico.salud.gob.mx/interior/queeslabioetica.html</w:t>
      </w:r>
    </w:p>
    <w:p>
      <w:pPr>
        <w:pStyle w:val="ListNumber"/>
      </w:pPr>
      <w:r>
        <w:t xml:space="preserve">R2. UNESCO. Universal Declaration on Bioethics and Human Rights. </w:t>
      </w:r>
      <w:r>
        <w:t>https://www.unesco.org/en/ethics-science-technology/bioethics-and-human-rights?hub=387</w:t>
      </w:r>
    </w:p>
    <w:p>
      <w:pPr>
        <w:pStyle w:val="ListNumber"/>
      </w:pPr>
      <w:r>
        <w:t xml:space="preserve">R3. The Hastings Center. The Hastings Center Bioethics Timeline. </w:t>
      </w:r>
      <w:r>
        <w:t>https://www.thehastingscenter.org/bioethics-timeline/</w:t>
      </w:r>
    </w:p>
    <w:p>
      <w:pPr>
        <w:pStyle w:val="ListNumber"/>
      </w:pPr>
      <w:r>
        <w:t xml:space="preserve">R4. Jonsen, A. R. (1998). The Birth of Bioethics. Oxford University Press. DOI: 10.1093/oso/9780195103250.001.0001 </w:t>
      </w:r>
      <w:r>
        <w:t>https://academic.oup.com/book/50897</w:t>
      </w:r>
    </w:p>
    <w:p>
      <w:pPr>
        <w:pStyle w:val="ListNumber"/>
      </w:pPr>
      <w:r>
        <w:t xml:space="preserve">R5. Potter, V. R. (1970). Bioethics, the Science of Survival. Perspectives in Biology and Medicine, 14(1), 127–153. DOI: 10.1353/pbm.1970.0015 </w:t>
      </w:r>
      <w:r>
        <w:t>https://www.scienceopen.com/document?vid=87e735eb-e0a3-4ac8-8833-4e1ab479b2f0</w:t>
      </w:r>
    </w:p>
    <w:p>
      <w:pPr>
        <w:pStyle w:val="ListNumber"/>
      </w:pPr>
      <w:r>
        <w:t xml:space="preserve">R6. Jahr, F. (1927). Bio-Ethik... Kosmos, 24(1), 2–4. </w:t>
      </w:r>
      <w:r>
        <w:t>https://www.iborjabioetica.url.edu/es/blog-de-bioetica-debat/bio-etica-bio-ethik-1927</w:t>
      </w:r>
    </w:p>
    <w:p>
      <w:pPr>
        <w:pStyle w:val="ListNumber"/>
      </w:pPr>
      <w:r>
        <w:t xml:space="preserve">R7. Beauchamp, T. L., &amp; Childress, J. F. (2019). Principles of Biomedical Ethics (8th ed.). Oxford University Press. </w:t>
      </w:r>
      <w:r>
        <w:t>https://academic.oup.com/</w:t>
      </w:r>
    </w:p>
    <w:p>
      <w:pPr>
        <w:pStyle w:val="Heading1"/>
      </w:pPr>
      <w:r>
        <w:t>17. Registro de verificación B10</w:t>
      </w:r>
    </w:p>
    <w:tbl>
      <w:tblPr>
        <w:tblStyle w:val="TableGrid"/>
        <w:tblW w:type="auto" w:w="0"/>
        <w:tblLook w:firstColumn="1" w:firstRow="1" w:lastColumn="0" w:lastRow="0" w:noHBand="0" w:noVBand="1" w:val="04A0"/>
      </w:tblPr>
      <w:tblGrid>
        <w:gridCol w:w="3360"/>
        <w:gridCol w:w="3360"/>
        <w:gridCol w:w="3360"/>
      </w:tblGrid>
      <w:tr>
        <w:tc>
          <w:tcPr>
            <w:tcW w:type="dxa" w:w="3360"/>
          </w:tcPr>
          <w:p>
            <w:r>
              <w:t>Control</w:t>
            </w:r>
          </w:p>
        </w:tc>
        <w:tc>
          <w:tcPr>
            <w:tcW w:type="dxa" w:w="3360"/>
          </w:tcPr>
          <w:p>
            <w:r>
              <w:t>Criterio</w:t>
            </w:r>
          </w:p>
        </w:tc>
        <w:tc>
          <w:tcPr>
            <w:tcW w:type="dxa" w:w="3360"/>
          </w:tcPr>
          <w:p>
            <w:r>
              <w:t>Estado</w:t>
            </w:r>
          </w:p>
        </w:tc>
      </w:tr>
      <w:tr>
        <w:tc>
          <w:tcPr>
            <w:tcW w:type="dxa" w:w="3360"/>
          </w:tcPr>
          <w:p>
            <w:r>
              <w:t>Contenido</w:t>
            </w:r>
          </w:p>
        </w:tc>
        <w:tc>
          <w:tcPr>
            <w:tcW w:type="dxa" w:w="3360"/>
          </w:tcPr>
          <w:p>
            <w:r>
              <w:t>Derivado del expediente del Volumen XI; sin sustitución de la Redacción Maestra.</w:t>
            </w:r>
          </w:p>
        </w:tc>
        <w:tc>
          <w:tcPr>
            <w:tcW w:type="dxa" w:w="3360"/>
          </w:tcPr>
          <w:p>
            <w:r>
              <w:t>APROBADO</w:t>
            </w:r>
          </w:p>
        </w:tc>
      </w:tr>
      <w:tr>
        <w:tc>
          <w:tcPr>
            <w:tcW w:type="dxa" w:w="3360"/>
          </w:tcPr>
          <w:p>
            <w:r>
              <w:t>Trazabilidad</w:t>
            </w:r>
          </w:p>
        </w:tc>
        <w:tc>
          <w:tcPr>
            <w:tcW w:type="dxa" w:w="3360"/>
          </w:tcPr>
          <w:p>
            <w:r>
              <w:t>Fuentes institucionales/académicas identificables.</w:t>
            </w:r>
          </w:p>
        </w:tc>
        <w:tc>
          <w:tcPr>
            <w:tcW w:type="dxa" w:w="3360"/>
          </w:tcPr>
          <w:p>
            <w:r>
              <w:t>APROBADO</w:t>
            </w:r>
          </w:p>
        </w:tc>
      </w:tr>
      <w:tr>
        <w:tc>
          <w:tcPr>
            <w:tcW w:type="dxa" w:w="3360"/>
          </w:tcPr>
          <w:p>
            <w:r>
              <w:t>Historia</w:t>
            </w:r>
          </w:p>
        </w:tc>
        <w:tc>
          <w:tcPr>
            <w:tcW w:type="dxa" w:w="3360"/>
          </w:tcPr>
          <w:p>
            <w:r>
              <w:t>Se evita presentar la evolución como nacimiento puntual.</w:t>
            </w:r>
          </w:p>
        </w:tc>
        <w:tc>
          <w:tcPr>
            <w:tcW w:type="dxa" w:w="3360"/>
          </w:tcPr>
          <w:p>
            <w:r>
              <w:t>APROBADO</w:t>
            </w:r>
          </w:p>
        </w:tc>
      </w:tr>
      <w:tr>
        <w:tc>
          <w:tcPr>
            <w:tcW w:type="dxa" w:w="3360"/>
          </w:tcPr>
          <w:p>
            <w:r>
              <w:t>Pluralidad</w:t>
            </w:r>
          </w:p>
        </w:tc>
        <w:tc>
          <w:tcPr>
            <w:tcW w:type="dxa" w:w="3360"/>
          </w:tcPr>
          <w:p>
            <w:r>
              <w:t>No se presenta el principialismo como totalidad de la Bioética.</w:t>
            </w:r>
          </w:p>
        </w:tc>
        <w:tc>
          <w:tcPr>
            <w:tcW w:type="dxa" w:w="3360"/>
          </w:tcPr>
          <w:p>
            <w:r>
              <w:t>APROBADO</w:t>
            </w:r>
          </w:p>
        </w:tc>
      </w:tr>
      <w:tr>
        <w:tc>
          <w:tcPr>
            <w:tcW w:type="dxa" w:w="3360"/>
          </w:tcPr>
          <w:p>
            <w:r>
              <w:t>C³</w:t>
            </w:r>
          </w:p>
        </w:tc>
        <w:tc>
          <w:tcPr>
            <w:tcW w:type="dxa" w:w="3360"/>
          </w:tcPr>
          <w:p>
            <w:r>
              <w:t>Se conserva la apertura metodológica y la no imposición.</w:t>
            </w:r>
          </w:p>
        </w:tc>
        <w:tc>
          <w:tcPr>
            <w:tcW w:type="dxa" w:w="3360"/>
          </w:tcPr>
          <w:p>
            <w:r>
              <w:t>APROBADO</w:t>
            </w:r>
          </w:p>
        </w:tc>
      </w:tr>
      <w:tr>
        <w:tc>
          <w:tcPr>
            <w:tcW w:type="dxa" w:w="3360"/>
          </w:tcPr>
          <w:p>
            <w:r>
              <w:t>Destino B10</w:t>
            </w:r>
          </w:p>
        </w:tc>
        <w:tc>
          <w:tcPr>
            <w:tcW w:type="dxa" w:w="3360"/>
          </w:tcPr>
          <w:p>
            <w:r>
              <w:t>URL estable todavía no materializada.</w:t>
            </w:r>
          </w:p>
        </w:tc>
        <w:tc>
          <w:tcPr>
            <w:tcW w:type="dxa" w:w="3360"/>
          </w:tcPr>
          <w:p>
            <w:r>
              <w:t>PENDIENTE</w:t>
            </w:r>
          </w:p>
        </w:tc>
      </w:tr>
      <w:tr>
        <w:tc>
          <w:tcPr>
            <w:tcW w:type="dxa" w:w="3360"/>
          </w:tcPr>
          <w:p>
            <w:r>
              <w:t>QR</w:t>
            </w:r>
          </w:p>
        </w:tc>
        <w:tc>
          <w:tcPr>
            <w:tcW w:type="dxa" w:w="3360"/>
          </w:tcPr>
          <w:p>
            <w:r>
              <w:t>No generado antes de cerrar la URL.</w:t>
            </w:r>
          </w:p>
        </w:tc>
        <w:tc>
          <w:tcPr>
            <w:tcW w:type="dxa" w:w="3360"/>
          </w:tcPr>
          <w:p>
            <w:r>
              <w:t>PENDIENTE</w:t>
            </w:r>
          </w:p>
        </w:tc>
      </w:tr>
    </w:tbl>
    <w:p>
      <w:r>
        <w:br/>
        <w:t>DICTAMEN DOCUMENTAL: el contenido del recurso está listo para materialización; la infraestructura B10 no se declara completamente cerrada hasta verificar un destino estable y posteriormente el QR.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Narrow" w:hAnsi="Arial Narrow" w:eastAsia="Arial Narro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Narrow" w:hAnsi="Arial Narrow" w:eastAsia="Arial Narrow"/>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Narrow" w:hAnsi="Arial Narrow" w:eastAsia="Arial Narrow"/>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Narrow" w:hAnsi="Arial Narrow" w:eastAsia="Arial Narrow"/>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