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B5CBF" w14:textId="77777777" w:rsidR="00F95105" w:rsidRPr="00F80EC1" w:rsidRDefault="00000000">
      <w:pPr>
        <w:jc w:val="center"/>
        <w:rPr>
          <w:lang w:val="es-MX"/>
        </w:rPr>
      </w:pPr>
      <w:proofErr w:type="spellStart"/>
      <w:r w:rsidRPr="00F80EC1">
        <w:rPr>
          <w:b/>
          <w:lang w:val="es-MX"/>
        </w:rPr>
        <w:t>Moradiellos</w:t>
      </w:r>
      <w:proofErr w:type="spellEnd"/>
      <w:r w:rsidRPr="00F80EC1">
        <w:rPr>
          <w:b/>
          <w:lang w:val="es-MX"/>
        </w:rPr>
        <w:t>, capítulo 7: cinco citas textuales</w:t>
      </w:r>
    </w:p>
    <w:p w14:paraId="7C71BA83" w14:textId="77777777" w:rsidR="00F95105" w:rsidRPr="00F80EC1" w:rsidRDefault="00000000">
      <w:pPr>
        <w:jc w:val="center"/>
        <w:rPr>
          <w:lang w:val="es-MX"/>
        </w:rPr>
      </w:pPr>
      <w:r w:rsidRPr="00F80EC1">
        <w:rPr>
          <w:lang w:val="es-MX"/>
        </w:rPr>
        <w:t>Selección literal del capítulo 7 de Las caras de Clío para la actividad oral</w:t>
      </w:r>
    </w:p>
    <w:p w14:paraId="320D3D76" w14:textId="77777777" w:rsidR="00F95105" w:rsidRPr="00F80EC1" w:rsidRDefault="00000000">
      <w:pPr>
        <w:jc w:val="both"/>
        <w:rPr>
          <w:lang w:val="es-MX"/>
        </w:rPr>
      </w:pPr>
      <w:r w:rsidRPr="00F80EC1">
        <w:rPr>
          <w:lang w:val="es-MX"/>
        </w:rPr>
        <w:t xml:space="preserve">Fuente: </w:t>
      </w:r>
      <w:proofErr w:type="spellStart"/>
      <w:r w:rsidRPr="00F80EC1">
        <w:rPr>
          <w:lang w:val="es-MX"/>
        </w:rPr>
        <w:t>Moradiellos</w:t>
      </w:r>
      <w:proofErr w:type="spellEnd"/>
      <w:r w:rsidRPr="00F80EC1">
        <w:rPr>
          <w:lang w:val="es-MX"/>
        </w:rPr>
        <w:t>, E. (2001). Las caras de Clío: Una introducción a la historia. Siglo XXI de España Editores.</w:t>
      </w:r>
    </w:p>
    <w:p w14:paraId="40FB93BC" w14:textId="77777777" w:rsidR="00F95105" w:rsidRPr="00F80EC1" w:rsidRDefault="00000000">
      <w:pPr>
        <w:ind w:firstLine="0"/>
        <w:rPr>
          <w:lang w:val="es-MX"/>
        </w:rPr>
      </w:pPr>
      <w:r w:rsidRPr="00F80EC1">
        <w:rPr>
          <w:b/>
          <w:lang w:val="es-MX"/>
        </w:rPr>
        <w:t>Cita 1 (pp. 140-141)</w:t>
      </w:r>
    </w:p>
    <w:p w14:paraId="0E5F7229" w14:textId="77777777" w:rsidR="00F95105" w:rsidRPr="00F80EC1" w:rsidRDefault="00000000">
      <w:pPr>
        <w:ind w:left="720" w:firstLine="0"/>
        <w:jc w:val="both"/>
        <w:rPr>
          <w:lang w:val="es-MX"/>
        </w:rPr>
      </w:pPr>
      <w:r w:rsidRPr="00F80EC1">
        <w:rPr>
          <w:lang w:val="es-MX"/>
        </w:rPr>
        <w:t xml:space="preserve">A finales del año 1979, el historiador británico Lawrence Stone publicó en la revista </w:t>
      </w:r>
      <w:proofErr w:type="spellStart"/>
      <w:r w:rsidRPr="00F80EC1">
        <w:rPr>
          <w:lang w:val="es-MX"/>
        </w:rPr>
        <w:t>Past</w:t>
      </w:r>
      <w:proofErr w:type="spellEnd"/>
      <w:r w:rsidRPr="00F80EC1">
        <w:rPr>
          <w:lang w:val="es-MX"/>
        </w:rPr>
        <w:t xml:space="preserve"> and </w:t>
      </w:r>
      <w:proofErr w:type="spellStart"/>
      <w:r w:rsidRPr="00F80EC1">
        <w:rPr>
          <w:lang w:val="es-MX"/>
        </w:rPr>
        <w:t>Present</w:t>
      </w:r>
      <w:proofErr w:type="spellEnd"/>
      <w:r w:rsidRPr="00F80EC1">
        <w:rPr>
          <w:lang w:val="es-MX"/>
        </w:rPr>
        <w:t xml:space="preserve"> un influyente artículo sobre el estado de la historiografía occidental titulado «El resurgimiento de la narrativa: reflexiones sobre una nueva historia vieja». En el mismo, Stone apreciaba la existencia de síntomas inequívocos de agotamiento en los tres tipos de «Historia científica» que hasta entonces habían servido como modelos regulativos (y contendientes) de la práctica historiográfica más vanguardista: el paradigma económico-social de inspiración marxista; el proyecto ecológico-demográfico de la revista </w:t>
      </w:r>
      <w:proofErr w:type="spellStart"/>
      <w:r w:rsidRPr="00F80EC1">
        <w:rPr>
          <w:lang w:val="es-MX"/>
        </w:rPr>
        <w:t>Annales</w:t>
      </w:r>
      <w:proofErr w:type="spellEnd"/>
      <w:r w:rsidRPr="00F80EC1">
        <w:rPr>
          <w:lang w:val="es-MX"/>
        </w:rPr>
        <w:t xml:space="preserve">, y la metodología cliométrica de origen estadounidense. La razón de ese agotamiento simultáneo parecía ser la común incapacidad para producir su pretendida «explicación coherente y científica del cambio histórico»; entre otras cosas, porque el </w:t>
      </w:r>
      <w:proofErr w:type="spellStart"/>
      <w:r w:rsidRPr="00F80EC1">
        <w:rPr>
          <w:lang w:val="es-MX"/>
        </w:rPr>
        <w:t>cuantitativismo</w:t>
      </w:r>
      <w:proofErr w:type="spellEnd"/>
      <w:r w:rsidRPr="00F80EC1">
        <w:rPr>
          <w:lang w:val="es-MX"/>
        </w:rPr>
        <w:t xml:space="preserve"> y el determinismo económico o geo-malthusiano habían desatendido las dimensiones políticas, ideológicas y culturales que operaban activamente en la dinámica histórica de las sociedades humanas. En esas condiciones, Stone señalaba la aparición de una «nueva Historia» (la tercera de tal denominación en lo que va de siglo) alejada de los «enfoques analíticos y estructurales», cuyo uso de los modos narrativos e interés por las temáticas políticas y culturales le acercaba a la Historia tradicional que «el grueso de la profesión» siempre había seguido practicando a pesar de las vanguardias antedichas. Esta inversión de tendencias en el seno de la historiografía occidental es lo que conceptuaba </w:t>
      </w:r>
      <w:r w:rsidRPr="00F80EC1">
        <w:rPr>
          <w:lang w:val="es-MX"/>
        </w:rPr>
        <w:lastRenderedPageBreak/>
        <w:t>como «el resurgimiento de la narrativa», aun reconociendo que traducía procesos mucho más amplios y profundos: Hay síntomas de cambio en el tema central de la Historia: de las circunstancias que rodean al hombre a la consideración del hombre en sus circunstancias; cambio en los problemas estudiados: de lo económico y demográfico a lo cultural y emocional; cambio en las fuentes principales de influencia: de la Sociología, Economía y Demografía a la Antropología y Psicología; cambio en el sujeto: del grupo al individuo; cambio en los modelos explicativos de la mutación histórica: de lo estratificado y unicausal a lo interconectado y multicausal; cambio en la metodología: de la cuantificación de grupo al ejemplo individual; cambio en la organización: de lo analítico a lo descriptivo; y cambio en la categorización del papel del historiador: de lo científico a lo literario</w:t>
      </w:r>
      <w:r w:rsidRPr="00F80EC1">
        <w:rPr>
          <w:vertAlign w:val="superscript"/>
          <w:lang w:val="es-MX"/>
        </w:rPr>
        <w:t>195</w:t>
      </w:r>
      <w:r w:rsidRPr="00F80EC1">
        <w:rPr>
          <w:lang w:val="es-MX"/>
        </w:rPr>
        <w:t xml:space="preserve">. Ciertamente, la evolución de la historiografía a lo largo de los siguientes decenios parece corroborar sin duda alguna el diagnóstico y pronóstico avanzado por Lawrence Stone en su artículo. Al lado de la inveterada corriente de Historia política e intelectual de tipo tradicional, ha florecido una «nueva Historia» que refleja heterogéneamente los cambios apuntados y supone la demostración más palpable de la pérdida de influencia de los tres modelos regulativos científicos entre las supuestas vanguardias del gremio historiográfico. La crisis de la práctica histórica de inspiración marxiana se manifiesta en la propia revisión y trituración que sus mejores cultivadores (por ejemplo, Eric Hobsbawm, David </w:t>
      </w:r>
      <w:proofErr w:type="spellStart"/>
      <w:r w:rsidRPr="00F80EC1">
        <w:rPr>
          <w:lang w:val="es-MX"/>
        </w:rPr>
        <w:t>Blackbourne</w:t>
      </w:r>
      <w:proofErr w:type="spellEnd"/>
      <w:r w:rsidRPr="00F80EC1">
        <w:rPr>
          <w:lang w:val="es-MX"/>
        </w:rPr>
        <w:t xml:space="preserve">, </w:t>
      </w:r>
      <w:proofErr w:type="spellStart"/>
      <w:r w:rsidRPr="00F80EC1">
        <w:rPr>
          <w:lang w:val="es-MX"/>
        </w:rPr>
        <w:t>Geoff</w:t>
      </w:r>
      <w:proofErr w:type="spellEnd"/>
      <w:r w:rsidRPr="00F80EC1">
        <w:rPr>
          <w:lang w:val="es-MX"/>
        </w:rPr>
        <w:t xml:space="preserve"> </w:t>
      </w:r>
      <w:proofErr w:type="spellStart"/>
      <w:r w:rsidRPr="00F80EC1">
        <w:rPr>
          <w:lang w:val="es-MX"/>
        </w:rPr>
        <w:t>Eley</w:t>
      </w:r>
      <w:proofErr w:type="spellEnd"/>
      <w:r w:rsidRPr="00F80EC1">
        <w:rPr>
          <w:lang w:val="es-MX"/>
        </w:rPr>
        <w:t xml:space="preserve"> o Gareth </w:t>
      </w:r>
      <w:proofErr w:type="spellStart"/>
      <w:r w:rsidRPr="00F80EC1">
        <w:rPr>
          <w:lang w:val="es-MX"/>
        </w:rPr>
        <w:t>Stedman</w:t>
      </w:r>
      <w:proofErr w:type="spellEnd"/>
      <w:r w:rsidRPr="00F80EC1">
        <w:rPr>
          <w:lang w:val="es-MX"/>
        </w:rPr>
        <w:t xml:space="preserve"> Jones) han ejecutado sobre sus postulados teóricos tradicionales y ortodoxos: abandono de la problemática de los modos de producción y de sus leyes de funcionamiento, transformación y sucesión; reformulación de las categorías de «base» y «superestructura», del concepto de «clase» como agente histórico operativo, de la «lucha </w:t>
      </w:r>
      <w:r w:rsidRPr="00F80EC1">
        <w:rPr>
          <w:lang w:val="es-MX"/>
        </w:rPr>
        <w:lastRenderedPageBreak/>
        <w:t>de clases» como único o principal «motor» del cambio histórico, etc</w:t>
      </w:r>
      <w:r w:rsidRPr="00F80EC1">
        <w:rPr>
          <w:vertAlign w:val="superscript"/>
          <w:lang w:val="es-MX"/>
        </w:rPr>
        <w:t>196</w:t>
      </w:r>
      <w:r w:rsidRPr="00F80EC1">
        <w:rPr>
          <w:lang w:val="es-MX"/>
        </w:rPr>
        <w:t>. Otro tanto parece haber sucedido con los historiadores cliométricos, una vez reconocidos sus casi insolubles problemas de contrastación y verificación de datos y resultados y su forzada renuncia al estatuto de única práctica historiográfica «científica» y, como tal, verdadera y necesaria</w:t>
      </w:r>
      <w:r w:rsidRPr="00F80EC1">
        <w:rPr>
          <w:vertAlign w:val="superscript"/>
          <w:lang w:val="es-MX"/>
        </w:rPr>
        <w:t>197</w:t>
      </w:r>
      <w:r w:rsidRPr="00F80EC1">
        <w:rPr>
          <w:lang w:val="es-MX"/>
        </w:rPr>
        <w:t>. (</w:t>
      </w:r>
      <w:proofErr w:type="spellStart"/>
      <w:r w:rsidRPr="00F80EC1">
        <w:rPr>
          <w:lang w:val="es-MX"/>
        </w:rPr>
        <w:t>Moradiellos</w:t>
      </w:r>
      <w:proofErr w:type="spellEnd"/>
      <w:r w:rsidRPr="00F80EC1">
        <w:rPr>
          <w:lang w:val="es-MX"/>
        </w:rPr>
        <w:t>, 2001, pp. 140-141).</w:t>
      </w:r>
    </w:p>
    <w:p w14:paraId="0121EEE6" w14:textId="77777777" w:rsidR="00F80EC1" w:rsidRDefault="00F80EC1">
      <w:pPr>
        <w:ind w:left="720" w:firstLine="0"/>
        <w:jc w:val="both"/>
        <w:rPr>
          <w:b/>
          <w:bCs/>
        </w:rPr>
      </w:pPr>
    </w:p>
    <w:p w14:paraId="2DEEDD82" w14:textId="2203A6C7" w:rsidR="00F80EC1" w:rsidRPr="00F80EC1" w:rsidRDefault="00F80EC1">
      <w:pPr>
        <w:ind w:left="720" w:firstLine="0"/>
        <w:jc w:val="both"/>
        <w:rPr>
          <w:lang w:val="es-MX"/>
        </w:rPr>
      </w:pPr>
      <w:r w:rsidRPr="00F80EC1">
        <w:rPr>
          <w:b/>
          <w:bCs/>
          <w:lang w:val="es-MX"/>
        </w:rPr>
        <w:t>Explicación epistemológica:</w:t>
      </w:r>
      <w:r w:rsidRPr="00F80EC1">
        <w:rPr>
          <w:lang w:val="es-MX"/>
        </w:rPr>
        <w:t xml:space="preserve"> En esta primera cita, Moradiellos nos introduce a un problema epistemológico central: la crisis de los grandes "modelos regulativos" o paradigmas estructurales (el marxismo, la Escuela de los Annales y la cliometría). Desde la epistemología, esto refleja el momento en que la ambición de hacer una "Historia científica" —basada en explicaciones macroeconómicas, cuantitativas y deterministas— comienza a mostrar sus límites empíricos y explicativos. Al conectar esto con los debates iniciales de la materia, vemos cómo el abandono de la pretensión de alcanzar una verdad absoluta y unicausal da lugar al "resurgimiento de la narrativa". El historiador deja de enfocarse únicamente en las estructuras masivas (economía, demografía) para devolverle el protagonismo al individuo, la cultura y lo político. Es un cambio fundamental en el objeto de estudio y en la metodología, marcando la transición de una historia analítica a una descriptiva e interpretativa.</w:t>
      </w:r>
    </w:p>
    <w:p w14:paraId="0A8918BF" w14:textId="77777777" w:rsidR="00F80EC1" w:rsidRPr="00F80EC1" w:rsidRDefault="00F80EC1">
      <w:pPr>
        <w:ind w:left="720" w:firstLine="0"/>
        <w:jc w:val="both"/>
        <w:rPr>
          <w:lang w:val="es-MX"/>
        </w:rPr>
      </w:pPr>
    </w:p>
    <w:p w14:paraId="7EAB40B8" w14:textId="77777777" w:rsidR="00F95105" w:rsidRPr="00F80EC1" w:rsidRDefault="00000000">
      <w:pPr>
        <w:ind w:firstLine="0"/>
        <w:rPr>
          <w:lang w:val="es-MX"/>
        </w:rPr>
      </w:pPr>
      <w:r w:rsidRPr="00F80EC1">
        <w:rPr>
          <w:b/>
          <w:lang w:val="es-MX"/>
        </w:rPr>
        <w:t>Cita 2 (pp. 143-144)</w:t>
      </w:r>
    </w:p>
    <w:p w14:paraId="0ADECB08" w14:textId="77777777" w:rsidR="00F95105" w:rsidRPr="00F80EC1" w:rsidRDefault="00000000">
      <w:pPr>
        <w:ind w:left="720" w:firstLine="0"/>
        <w:jc w:val="both"/>
        <w:rPr>
          <w:lang w:val="es-MX"/>
        </w:rPr>
      </w:pPr>
      <w:r w:rsidRPr="00F80EC1">
        <w:rPr>
          <w:lang w:val="es-MX"/>
        </w:rPr>
        <w:t xml:space="preserve">La generalidad de los fenómenos citados ha corrido paralela a la extensión de unos nuevos postulados teóricos, de naturaleza ontológica y gnoseológica, explícitos e implícitos, que pretendían argumentar y legitimar la nítida inversión operada respecto a la </w:t>
      </w:r>
      <w:r w:rsidRPr="00F80EC1">
        <w:rPr>
          <w:lang w:val="es-MX"/>
        </w:rPr>
        <w:lastRenderedPageBreak/>
        <w:t xml:space="preserve">tradición historiográfica previa. El núcleo de toda su argumentación podría establecerse escuetamente sin hacer violencia excesiva de las diferentes formulaciones: la propia realidad sobre la que se escribe la Historia, al igual que la realidad de nuestros días, carece de estructura, es amorfa, heterogénea, asistemática, invertebrada, multifacética, y se escapa a toda conceptuación y representación bajo paradigmas deterministas y vertebradores como los que ofrecían los modelos regulativos </w:t>
      </w:r>
      <w:proofErr w:type="spellStart"/>
      <w:r w:rsidRPr="00F80EC1">
        <w:rPr>
          <w:lang w:val="es-MX"/>
        </w:rPr>
        <w:t>cientifístas</w:t>
      </w:r>
      <w:proofErr w:type="spellEnd"/>
      <w:r w:rsidRPr="00F80EC1">
        <w:rPr>
          <w:lang w:val="es-MX"/>
        </w:rPr>
        <w:t>; en consecuencia, sólo caben relatos históricos diferentes y paralelos sobre las ilimitadas partes de esa realidad atomizada (sin conexión al menos conocida y cognoscible entre sus partes), que desafía la vertebración de una «Historia total» y sólo permite una multitud de historias que serán todas igualmente válidas y pertinentes. No cabe duda de que esos postulados teóricos derivan en gran parte del llamado «pensamiento débil» atribuido a la «Postmodernidad», muy extendido en las sociedades industriales avanzadas y cuyo impacto sobre los historiadores ha sido notorio, como habremos de ver posteriormente. De momento, bastará subrayar el arraigo de esos postulados entre los promotores de la bautizada «nueva Historia» mediante una breve selección de citas que bien hubiera podido proceder de todos los ámbitos geográficos occidentales y de todas las especialidades existentes dentro del gremio de historiadores. Así, por ejemplo, Jacques Le Goff y Pierre Nora, prohombres del grupo «</w:t>
      </w:r>
      <w:proofErr w:type="spellStart"/>
      <w:r w:rsidRPr="00F80EC1">
        <w:rPr>
          <w:lang w:val="es-MX"/>
        </w:rPr>
        <w:t>annalista</w:t>
      </w:r>
      <w:proofErr w:type="spellEnd"/>
      <w:r w:rsidRPr="00F80EC1">
        <w:rPr>
          <w:lang w:val="es-MX"/>
        </w:rPr>
        <w:t xml:space="preserve">» francés, enunciaron tesis similares en 1974 sin rodeos: «el dominio histórico no tiene límites». En el mismo prólogo de una obra colectiva añadían que la misma «invoca el desmenuzamiento actual de la historia y toma conciencia de la coexistencia de tipos de historia igualmente válidos». Paul Veyne corroboró esa idea al subrayar: «Todo acontecimiento es digno de la historia». Y otra vez Pierre Nora definió con precisión la consecuencia para la </w:t>
      </w:r>
      <w:r w:rsidRPr="00F80EC1">
        <w:rPr>
          <w:lang w:val="es-MX"/>
        </w:rPr>
        <w:lastRenderedPageBreak/>
        <w:t xml:space="preserve">disciplina de tales premisas: «Vivimos una historia en migajas, ecléctica, abierta a curiosidades que no hay que rechazar». Muy recientemente, en el ámbito británico, Juliet </w:t>
      </w:r>
      <w:proofErr w:type="spellStart"/>
      <w:r w:rsidRPr="00F80EC1">
        <w:rPr>
          <w:lang w:val="es-MX"/>
        </w:rPr>
        <w:t>Gardiner</w:t>
      </w:r>
      <w:proofErr w:type="spellEnd"/>
      <w:r w:rsidRPr="00F80EC1">
        <w:rPr>
          <w:lang w:val="es-MX"/>
        </w:rPr>
        <w:t xml:space="preserve"> reiteró la tesis de que «el campo propio de la investigación histórica se extiende desde las constituciones hasta las falsificaciones, desde la magia hasta la menstruación»201. La subsecuente fragmentación de la praxis histórica que estas posiciones teóricas alimentaron (y reflejaron) provocó desde el principio un hondo debate y una verdadera crisis de identidad de la disciplina. No todos los profesionales de la Historia, ni mucho menos, compartieron esas tesis ontológicas y gnoseológicas ni aceptaron sus implicaciones prácticas extremas del «todo vale» y «todo es historiable con idéntica propiedad». Desde luego, los historiadores más tradicionales y los continuadores de la trilogía desplazada mantuvieron sus perspectivas y resistieron el embate relativista y asistemático con notorio éxito. Incluso dentro de las filas de quienes secundaron el programa de apertura temática ilimitada hubo negativas a aceptar que todas las facetas de la realidad fueran dignas de ser historiadas con igual justificación y en compartimentos autónomos e inconexos (tal sería el caso de Georges </w:t>
      </w:r>
      <w:proofErr w:type="spellStart"/>
      <w:r w:rsidRPr="00F80EC1">
        <w:rPr>
          <w:lang w:val="es-MX"/>
        </w:rPr>
        <w:t>Duby</w:t>
      </w:r>
      <w:proofErr w:type="spellEnd"/>
      <w:r w:rsidRPr="00F80EC1">
        <w:rPr>
          <w:lang w:val="es-MX"/>
        </w:rPr>
        <w:t>). No en vano, los detractores de esa apertura ilimitada podían señalar que, de hecho, muchos de sus productos novedosos en bien poco se diferenciaban de las múltiples historias banales y triviales que siempre habían florecido al lado de la producción elaborada por la disciplina académica histórica: las crónicas locales y familiares, las historias sobre muebles antiguos, viejas locomotoras, tipos de armas, modelos de aviones, equipos deportivos, instituciones educativas, festivales laicos y religiosos, los libros sobre restaurantes y menús de cocina, vestidos, sombreros y abalorios, etc. (</w:t>
      </w:r>
      <w:proofErr w:type="spellStart"/>
      <w:r w:rsidRPr="00F80EC1">
        <w:rPr>
          <w:lang w:val="es-MX"/>
        </w:rPr>
        <w:t>Moradiellos</w:t>
      </w:r>
      <w:proofErr w:type="spellEnd"/>
      <w:r w:rsidRPr="00F80EC1">
        <w:rPr>
          <w:lang w:val="es-MX"/>
        </w:rPr>
        <w:t>, 2001, pp. 143-144).</w:t>
      </w:r>
    </w:p>
    <w:p w14:paraId="201FB2DF" w14:textId="77777777" w:rsidR="00F95105" w:rsidRPr="00F80EC1" w:rsidRDefault="00000000">
      <w:pPr>
        <w:ind w:firstLine="0"/>
        <w:rPr>
          <w:lang w:val="es-MX"/>
        </w:rPr>
      </w:pPr>
      <w:r w:rsidRPr="00F80EC1">
        <w:rPr>
          <w:b/>
          <w:lang w:val="es-MX"/>
        </w:rPr>
        <w:t>Cita 3 (pp. 148-149)</w:t>
      </w:r>
    </w:p>
    <w:p w14:paraId="7B1DDAFE" w14:textId="77777777" w:rsidR="00F95105" w:rsidRPr="00F80EC1" w:rsidRDefault="00000000">
      <w:pPr>
        <w:ind w:left="720" w:firstLine="0"/>
        <w:jc w:val="both"/>
        <w:rPr>
          <w:lang w:val="es-MX"/>
        </w:rPr>
      </w:pPr>
      <w:r w:rsidRPr="00F80EC1">
        <w:rPr>
          <w:lang w:val="es-MX"/>
        </w:rPr>
        <w:lastRenderedPageBreak/>
        <w:t>II. LA «CRISIS COGNITIVA» Y EL «PENSAMIENTO DÉBIL DE LA POSTMODERNIDAD La llamada «crisis de la disciplina» por disolución atomista del campo histórico y trivialidad temática es una de las facetas más notables del debate historiográfico en curso en el mundo occidental. Pero no es la única ni, probablemente, la más importante y decisiva. Porque en paralelo con ella se ha abierto una llamada «crisis cognitiva» que impugna la posibilidad de todo tipo de conocimiento histórico científico, ya sea trivial, importante o esencial. Y esta impugnación no deja de ser una variante de la negación y puesta en duda de todo conocimiento racional, demostrativo determinista y verdadero ofrecido por las ciencias, por influencia directa del llamado «pensamiento débil de la postmodernidad»</w:t>
      </w:r>
      <w:r w:rsidRPr="00F80EC1">
        <w:rPr>
          <w:vertAlign w:val="superscript"/>
          <w:lang w:val="es-MX"/>
        </w:rPr>
        <w:t>207</w:t>
      </w:r>
      <w:r w:rsidRPr="00F80EC1">
        <w:rPr>
          <w:lang w:val="es-MX"/>
        </w:rPr>
        <w:t>. Aunque debe señalarse que, en el plano historiográfico, los efectos de esta corriente filosófica se han hecho sentir esencialmente sobre la disciplina de Historia intelectual, la más proclive por su propia naturaleza a reflexionar teóricamente sobre su actividad y campo temático. En las restantes disciplinas históricas, el inveterado empirismo, la pereza intelectual y la aversión por la teoría han permitido continuar su plurivalente práctica sin demasiada preocupación por el asunto, aun cuando de facto les afectase, como hemos visto y veremos, el cambio de clima y textura intelectual propiciado por la postmodernidad. Precisamente, fue en el ámbito de la Historia intelectual donde comenzaron a hacer mella las corrientes filosóficas de orientación lingüística que pretenden cuestionar o destruir los fundamentos racionales y operativos sobre los que se apoya la práctica historiográfica desde principios del siglo XIX. Y en este proceso (a veces denominado «el giro lingüístico»)</w:t>
      </w:r>
      <w:r w:rsidRPr="00F80EC1">
        <w:rPr>
          <w:vertAlign w:val="superscript"/>
          <w:lang w:val="es-MX"/>
        </w:rPr>
        <w:t>208</w:t>
      </w:r>
      <w:r w:rsidRPr="00F80EC1">
        <w:rPr>
          <w:lang w:val="es-MX"/>
        </w:rPr>
        <w:t xml:space="preserve"> parece indudable que la influencia suprema ha correspondido al pensador francés Jacques Derrida y a su «estrategia general de deconstrucción» como método de lectura de textos lingüísticos. En </w:t>
      </w:r>
      <w:r w:rsidRPr="00F80EC1">
        <w:rPr>
          <w:lang w:val="es-MX"/>
        </w:rPr>
        <w:lastRenderedPageBreak/>
        <w:t xml:space="preserve">esencia, la deconstrucción es un procedimiento de lectura textual que pretende descomponer las estructuras lingüísticas que sostienen el discurso escrito como racional y coherente, revelando las antinomias, contradicciones, disonancias, paralogismos y faltas de sentido unívoco que están presentes en el llamado plano «literal» tanto como en el metafórico. De ese modo, se hace imposible la determinación del significado preciso del texto en cuestión, porque éste resulta incapaz de transmitir su mensaje sin incertidumbre y coexisten múltiples lecturas en conflicto del mismo y todas totalmente legítimas. La razón de esa incertidumbre esencial estribaría en que el signo lingüístico es arbitrario, es una «institución inmotivada» y no guarda ninguna relación necesaria ni natural con lo que pretende significar. «Cada signo no representa, no </w:t>
      </w:r>
      <w:proofErr w:type="spellStart"/>
      <w:r w:rsidRPr="00F80EC1">
        <w:rPr>
          <w:lang w:val="es-MX"/>
        </w:rPr>
        <w:t>esta</w:t>
      </w:r>
      <w:proofErr w:type="spellEnd"/>
      <w:r w:rsidRPr="00F80EC1">
        <w:rPr>
          <w:lang w:val="es-MX"/>
        </w:rPr>
        <w:t xml:space="preserve"> por un objeto, sino que cada signo repite —o prefigura— otro signo»</w:t>
      </w:r>
      <w:r w:rsidRPr="00F80EC1">
        <w:rPr>
          <w:vertAlign w:val="superscript"/>
          <w:lang w:val="es-MX"/>
        </w:rPr>
        <w:t>209</w:t>
      </w:r>
      <w:r w:rsidRPr="00F80EC1">
        <w:rPr>
          <w:lang w:val="es-MX"/>
        </w:rPr>
        <w:t>. Por tanto, el sentido del signo es siempre ambiguo y siempre será imposible decidir con certeza su significado (tesis de la «</w:t>
      </w:r>
      <w:proofErr w:type="spellStart"/>
      <w:r w:rsidRPr="00F80EC1">
        <w:rPr>
          <w:lang w:val="es-MX"/>
        </w:rPr>
        <w:t>indecibilidad</w:t>
      </w:r>
      <w:proofErr w:type="spellEnd"/>
      <w:r w:rsidRPr="00F80EC1">
        <w:rPr>
          <w:lang w:val="es-MX"/>
        </w:rPr>
        <w:t>» del sentido del signo). De ahí se deriva, a efectos de crítica literaria y todo tipo de lectura textual, la imposibilidad de buscar el sentido exacto del texto, su interpretación precisa y la «intención» del autor, porque no existen de hecho y porque, si existieran, serían incognoscibles, indecidibles e imposibles de verificar y comprobar. (</w:t>
      </w:r>
      <w:proofErr w:type="spellStart"/>
      <w:r w:rsidRPr="00F80EC1">
        <w:rPr>
          <w:lang w:val="es-MX"/>
        </w:rPr>
        <w:t>Moradiellos</w:t>
      </w:r>
      <w:proofErr w:type="spellEnd"/>
      <w:r w:rsidRPr="00F80EC1">
        <w:rPr>
          <w:lang w:val="es-MX"/>
        </w:rPr>
        <w:t>, 2001, pp. 148-149).</w:t>
      </w:r>
    </w:p>
    <w:p w14:paraId="43673523" w14:textId="77777777" w:rsidR="00F95105" w:rsidRPr="00F80EC1" w:rsidRDefault="00000000">
      <w:pPr>
        <w:ind w:firstLine="0"/>
        <w:rPr>
          <w:lang w:val="es-MX"/>
        </w:rPr>
      </w:pPr>
      <w:r w:rsidRPr="00F80EC1">
        <w:rPr>
          <w:b/>
          <w:lang w:val="es-MX"/>
        </w:rPr>
        <w:t>Cita 4 (pp. 154-155)</w:t>
      </w:r>
    </w:p>
    <w:p w14:paraId="696E6B16" w14:textId="77777777" w:rsidR="00F95105" w:rsidRPr="00F80EC1" w:rsidRDefault="00000000">
      <w:pPr>
        <w:ind w:left="720" w:firstLine="0"/>
        <w:jc w:val="both"/>
        <w:rPr>
          <w:lang w:val="es-MX"/>
        </w:rPr>
      </w:pPr>
      <w:r w:rsidRPr="00F80EC1">
        <w:rPr>
          <w:lang w:val="es-MX"/>
        </w:rPr>
        <w:t xml:space="preserve">El historiador Simón </w:t>
      </w:r>
      <w:proofErr w:type="spellStart"/>
      <w:r w:rsidRPr="00F80EC1">
        <w:rPr>
          <w:lang w:val="es-MX"/>
        </w:rPr>
        <w:t>Schama</w:t>
      </w:r>
      <w:proofErr w:type="spellEnd"/>
      <w:r w:rsidRPr="00F80EC1">
        <w:rPr>
          <w:lang w:val="es-MX"/>
        </w:rPr>
        <w:t xml:space="preserve"> (Londres, 1945) es un magistral exponente de la mejor historiografía británica y anglófona. Cursó estudios en Cambridge, fue docente en esa Universidad y en la de Oxford, y actualmente es catedrático de la Universidad de Harvard. Tiene en su rico haber obras de formato y contenido perfectamente académicos y clásicos, en los que siempre hubo buena narrativa: un aclamado estudio sobre la </w:t>
      </w:r>
      <w:r w:rsidRPr="00F80EC1">
        <w:rPr>
          <w:lang w:val="es-MX"/>
        </w:rPr>
        <w:lastRenderedPageBreak/>
        <w:t>formación de la Holanda contemporánea (</w:t>
      </w:r>
      <w:proofErr w:type="spellStart"/>
      <w:r w:rsidRPr="00F80EC1">
        <w:rPr>
          <w:lang w:val="es-MX"/>
        </w:rPr>
        <w:t>Patriots</w:t>
      </w:r>
      <w:proofErr w:type="spellEnd"/>
      <w:r w:rsidRPr="00F80EC1">
        <w:rPr>
          <w:lang w:val="es-MX"/>
        </w:rPr>
        <w:t xml:space="preserve"> and </w:t>
      </w:r>
      <w:proofErr w:type="spellStart"/>
      <w:r w:rsidRPr="00F80EC1">
        <w:rPr>
          <w:lang w:val="es-MX"/>
        </w:rPr>
        <w:t>Liberators</w:t>
      </w:r>
      <w:proofErr w:type="spellEnd"/>
      <w:r w:rsidRPr="00F80EC1">
        <w:rPr>
          <w:lang w:val="es-MX"/>
        </w:rPr>
        <w:t xml:space="preserve">: </w:t>
      </w:r>
      <w:proofErr w:type="spellStart"/>
      <w:r w:rsidRPr="00F80EC1">
        <w:rPr>
          <w:lang w:val="es-MX"/>
        </w:rPr>
        <w:t>Revolution</w:t>
      </w:r>
      <w:proofErr w:type="spellEnd"/>
      <w:r w:rsidRPr="00F80EC1">
        <w:rPr>
          <w:lang w:val="es-MX"/>
        </w:rPr>
        <w:t xml:space="preserve"> in </w:t>
      </w:r>
      <w:proofErr w:type="spellStart"/>
      <w:r w:rsidRPr="00F80EC1">
        <w:rPr>
          <w:lang w:val="es-MX"/>
        </w:rPr>
        <w:t>the</w:t>
      </w:r>
      <w:proofErr w:type="spellEnd"/>
      <w:r w:rsidRPr="00F80EC1">
        <w:rPr>
          <w:lang w:val="es-MX"/>
        </w:rPr>
        <w:t xml:space="preserve"> </w:t>
      </w:r>
      <w:proofErr w:type="spellStart"/>
      <w:r w:rsidRPr="00F80EC1">
        <w:rPr>
          <w:lang w:val="es-MX"/>
        </w:rPr>
        <w:t>Netherlands</w:t>
      </w:r>
      <w:proofErr w:type="spellEnd"/>
      <w:r w:rsidRPr="00F80EC1">
        <w:rPr>
          <w:lang w:val="es-MX"/>
        </w:rPr>
        <w:t>, 1780-1813, publicado en 1977); un relato sobre la contribución de Edmund y James de Rothschild a la creación de la comunidad judía en Palestina (</w:t>
      </w:r>
      <w:proofErr w:type="spellStart"/>
      <w:r w:rsidRPr="00F80EC1">
        <w:rPr>
          <w:lang w:val="es-MX"/>
        </w:rPr>
        <w:t>Twon</w:t>
      </w:r>
      <w:proofErr w:type="spellEnd"/>
      <w:r w:rsidRPr="00F80EC1">
        <w:rPr>
          <w:lang w:val="es-MX"/>
        </w:rPr>
        <w:t xml:space="preserve"> </w:t>
      </w:r>
      <w:proofErr w:type="spellStart"/>
      <w:r w:rsidRPr="00F80EC1">
        <w:rPr>
          <w:lang w:val="es-MX"/>
        </w:rPr>
        <w:t>Rothschildsandthe</w:t>
      </w:r>
      <w:proofErr w:type="spellEnd"/>
      <w:r w:rsidRPr="00F80EC1">
        <w:rPr>
          <w:lang w:val="es-MX"/>
        </w:rPr>
        <w:t xml:space="preserve"> </w:t>
      </w:r>
      <w:proofErr w:type="spellStart"/>
      <w:r w:rsidRPr="00F80EC1">
        <w:rPr>
          <w:lang w:val="es-MX"/>
        </w:rPr>
        <w:t>Landof</w:t>
      </w:r>
      <w:proofErr w:type="spellEnd"/>
      <w:r w:rsidRPr="00F80EC1">
        <w:rPr>
          <w:lang w:val="es-MX"/>
        </w:rPr>
        <w:t xml:space="preserve"> Israel, 1978); una panorámica «puntillista» de la sociedad holandesa en el siglo XVII (</w:t>
      </w:r>
      <w:proofErr w:type="spellStart"/>
      <w:r w:rsidRPr="00F80EC1">
        <w:rPr>
          <w:lang w:val="es-MX"/>
        </w:rPr>
        <w:t>The</w:t>
      </w:r>
      <w:proofErr w:type="spellEnd"/>
      <w:r w:rsidRPr="00F80EC1">
        <w:rPr>
          <w:lang w:val="es-MX"/>
        </w:rPr>
        <w:t xml:space="preserve"> </w:t>
      </w:r>
      <w:proofErr w:type="spellStart"/>
      <w:r w:rsidRPr="00F80EC1">
        <w:rPr>
          <w:lang w:val="es-MX"/>
        </w:rPr>
        <w:t>Embarrasment</w:t>
      </w:r>
      <w:proofErr w:type="spellEnd"/>
      <w:r w:rsidRPr="00F80EC1">
        <w:rPr>
          <w:lang w:val="es-MX"/>
        </w:rPr>
        <w:t xml:space="preserve"> </w:t>
      </w:r>
      <w:proofErr w:type="spellStart"/>
      <w:r w:rsidRPr="00F80EC1">
        <w:rPr>
          <w:lang w:val="es-MX"/>
        </w:rPr>
        <w:t>of</w:t>
      </w:r>
      <w:proofErr w:type="spellEnd"/>
      <w:r w:rsidRPr="00F80EC1">
        <w:rPr>
          <w:lang w:val="es-MX"/>
        </w:rPr>
        <w:t xml:space="preserve"> Riches: </w:t>
      </w:r>
      <w:proofErr w:type="spellStart"/>
      <w:r w:rsidRPr="00F80EC1">
        <w:rPr>
          <w:lang w:val="es-MX"/>
        </w:rPr>
        <w:t>An</w:t>
      </w:r>
      <w:proofErr w:type="spellEnd"/>
      <w:r w:rsidRPr="00F80EC1">
        <w:rPr>
          <w:lang w:val="es-MX"/>
        </w:rPr>
        <w:t xml:space="preserve"> </w:t>
      </w:r>
      <w:proofErr w:type="spellStart"/>
      <w:r w:rsidRPr="00F80EC1">
        <w:rPr>
          <w:lang w:val="es-MX"/>
        </w:rPr>
        <w:t>Interpretation</w:t>
      </w:r>
      <w:proofErr w:type="spellEnd"/>
      <w:r w:rsidRPr="00F80EC1">
        <w:rPr>
          <w:lang w:val="es-MX"/>
        </w:rPr>
        <w:t xml:space="preserve"> </w:t>
      </w:r>
      <w:proofErr w:type="spellStart"/>
      <w:r w:rsidRPr="00F80EC1">
        <w:rPr>
          <w:lang w:val="es-MX"/>
        </w:rPr>
        <w:t>of</w:t>
      </w:r>
      <w:proofErr w:type="spellEnd"/>
      <w:r w:rsidRPr="00F80EC1">
        <w:rPr>
          <w:lang w:val="es-MX"/>
        </w:rPr>
        <w:t xml:space="preserve"> Dutch Culture in </w:t>
      </w:r>
      <w:proofErr w:type="spellStart"/>
      <w:r w:rsidRPr="00F80EC1">
        <w:rPr>
          <w:lang w:val="es-MX"/>
        </w:rPr>
        <w:t>the</w:t>
      </w:r>
      <w:proofErr w:type="spellEnd"/>
      <w:r w:rsidRPr="00F80EC1">
        <w:rPr>
          <w:lang w:val="es-MX"/>
        </w:rPr>
        <w:t xml:space="preserve"> Golden Age, 1987); y un celebrado y popular retrato de varios personajes que participaron en la Revolución francesa de 1789 (</w:t>
      </w:r>
      <w:proofErr w:type="spellStart"/>
      <w:r w:rsidRPr="00F80EC1">
        <w:rPr>
          <w:lang w:val="es-MX"/>
        </w:rPr>
        <w:t>Citizens</w:t>
      </w:r>
      <w:proofErr w:type="spellEnd"/>
      <w:r w:rsidRPr="00F80EC1">
        <w:rPr>
          <w:lang w:val="es-MX"/>
        </w:rPr>
        <w:t xml:space="preserve">: A </w:t>
      </w:r>
      <w:proofErr w:type="spellStart"/>
      <w:r w:rsidRPr="00F80EC1">
        <w:rPr>
          <w:lang w:val="es-MX"/>
        </w:rPr>
        <w:t>Chronicle</w:t>
      </w:r>
      <w:proofErr w:type="spellEnd"/>
      <w:r w:rsidRPr="00F80EC1">
        <w:rPr>
          <w:lang w:val="es-MX"/>
        </w:rPr>
        <w:t xml:space="preserve"> </w:t>
      </w:r>
      <w:proofErr w:type="spellStart"/>
      <w:r w:rsidRPr="00F80EC1">
        <w:rPr>
          <w:lang w:val="es-MX"/>
        </w:rPr>
        <w:t>of</w:t>
      </w:r>
      <w:proofErr w:type="spellEnd"/>
      <w:r w:rsidRPr="00F80EC1">
        <w:rPr>
          <w:lang w:val="es-MX"/>
        </w:rPr>
        <w:t xml:space="preserve"> </w:t>
      </w:r>
      <w:proofErr w:type="spellStart"/>
      <w:r w:rsidRPr="00F80EC1">
        <w:rPr>
          <w:lang w:val="es-MX"/>
        </w:rPr>
        <w:t>the</w:t>
      </w:r>
      <w:proofErr w:type="spellEnd"/>
      <w:r w:rsidRPr="00F80EC1">
        <w:rPr>
          <w:lang w:val="es-MX"/>
        </w:rPr>
        <w:t xml:space="preserve"> French </w:t>
      </w:r>
      <w:proofErr w:type="spellStart"/>
      <w:r w:rsidRPr="00F80EC1">
        <w:rPr>
          <w:lang w:val="es-MX"/>
        </w:rPr>
        <w:t>Revolution</w:t>
      </w:r>
      <w:proofErr w:type="spellEnd"/>
      <w:r w:rsidRPr="00F80EC1">
        <w:rPr>
          <w:lang w:val="es-MX"/>
        </w:rPr>
        <w:t xml:space="preserve">, 1989). Sin embargo, </w:t>
      </w:r>
      <w:proofErr w:type="spellStart"/>
      <w:r w:rsidRPr="00F80EC1">
        <w:rPr>
          <w:lang w:val="es-MX"/>
        </w:rPr>
        <w:t>Dead</w:t>
      </w:r>
      <w:proofErr w:type="spellEnd"/>
      <w:r w:rsidRPr="00F80EC1">
        <w:rPr>
          <w:lang w:val="es-MX"/>
        </w:rPr>
        <w:t xml:space="preserve"> </w:t>
      </w:r>
      <w:proofErr w:type="spellStart"/>
      <w:r w:rsidRPr="00F80EC1">
        <w:rPr>
          <w:lang w:val="es-MX"/>
        </w:rPr>
        <w:t>Certainties</w:t>
      </w:r>
      <w:proofErr w:type="spellEnd"/>
      <w:r w:rsidRPr="00F80EC1">
        <w:rPr>
          <w:lang w:val="es-MX"/>
        </w:rPr>
        <w:t xml:space="preserve"> (1991) ya no pertenece a esa misma categoría de obras históricas. La primera parte, titulada «Las muchas muertes del general Wolfe», contiene entremezclados varios relatos contradictorios sobre el final del héroe militar británico que derrotó a los franceses en Quebec en 1759. La segunda parte se titula «La muerte de un hombre de Harvard» y recoge varios testimonios, documentos y escritos sobre un caso judicial histórico: el proceso, condena y ejecución de un profesor de química de Harvard acusado del asesinato de un hacendado y prestamista en 1849. ¿Qué tiene todo ello de particular? El hecho de que la narrativa entreteje la documentación histórica y la ficción sin diferencias: </w:t>
      </w:r>
      <w:proofErr w:type="spellStart"/>
      <w:r w:rsidRPr="00F80EC1">
        <w:rPr>
          <w:lang w:val="es-MX"/>
        </w:rPr>
        <w:t>Schama</w:t>
      </w:r>
      <w:proofErr w:type="spellEnd"/>
      <w:r w:rsidRPr="00F80EC1">
        <w:rPr>
          <w:lang w:val="es-MX"/>
        </w:rPr>
        <w:t xml:space="preserve"> ha empleado conjuntamente y sin discriminar documentos de la época y relatos interpolados o inventados por completo; además ha renunciado a cualquier cita o referencia que permitiera localizar o verificar los textos utilizados; y por último hace uso de varios recursos expresivos de la técnica novelística (el monólogo interior, el deslizamiento del pensamiento de un personaje a otro, la narración en tercera persona...). En el final «abierto» de la obra, el lector prácticamente puede escoger el tipo de muerte del general Wolfe y la culpabilidad o inocencia del profesor de química, puesto que el autor renuncia a decidir tales asuntos </w:t>
      </w:r>
      <w:r w:rsidRPr="00F80EC1">
        <w:rPr>
          <w:vertAlign w:val="superscript"/>
          <w:lang w:val="es-MX"/>
        </w:rPr>
        <w:lastRenderedPageBreak/>
        <w:t>218</w:t>
      </w:r>
      <w:r w:rsidRPr="00F80EC1">
        <w:rPr>
          <w:lang w:val="es-MX"/>
        </w:rPr>
        <w:t xml:space="preserve">. Si la obra de </w:t>
      </w:r>
      <w:proofErr w:type="spellStart"/>
      <w:r w:rsidRPr="00F80EC1">
        <w:rPr>
          <w:lang w:val="es-MX"/>
        </w:rPr>
        <w:t>Schama</w:t>
      </w:r>
      <w:proofErr w:type="spellEnd"/>
      <w:r w:rsidRPr="00F80EC1">
        <w:rPr>
          <w:lang w:val="es-MX"/>
        </w:rPr>
        <w:t xml:space="preserve"> fuera una mera «novela histórica», no habría lugar para ella en este artículo. Y aunque </w:t>
      </w:r>
      <w:proofErr w:type="spellStart"/>
      <w:r w:rsidRPr="00F80EC1">
        <w:rPr>
          <w:lang w:val="es-MX"/>
        </w:rPr>
        <w:t>Schama</w:t>
      </w:r>
      <w:proofErr w:type="spellEnd"/>
      <w:r w:rsidRPr="00F80EC1">
        <w:rPr>
          <w:lang w:val="es-MX"/>
        </w:rPr>
        <w:t xml:space="preserve"> concede que no es «Historia» a pesar de que «a veces parece observar las convenciones discursivas de la historia», sigue en pie el problema de su relación con la disciplina. De hecho, </w:t>
      </w:r>
      <w:proofErr w:type="spellStart"/>
      <w:r w:rsidRPr="00F80EC1">
        <w:rPr>
          <w:lang w:val="es-MX"/>
        </w:rPr>
        <w:t>Dead</w:t>
      </w:r>
      <w:proofErr w:type="spellEnd"/>
      <w:r w:rsidRPr="00F80EC1">
        <w:rPr>
          <w:lang w:val="es-MX"/>
        </w:rPr>
        <w:t xml:space="preserve"> </w:t>
      </w:r>
      <w:proofErr w:type="spellStart"/>
      <w:r w:rsidRPr="00F80EC1">
        <w:rPr>
          <w:lang w:val="es-MX"/>
        </w:rPr>
        <w:t>Certainties</w:t>
      </w:r>
      <w:proofErr w:type="spellEnd"/>
      <w:r w:rsidRPr="00F80EC1">
        <w:rPr>
          <w:lang w:val="es-MX"/>
        </w:rPr>
        <w:t xml:space="preserve">, por la calidad de su autor y por la entidad de los temas que remueve en su contenido (multiplicidad de puntos de vista igualmente legítimos ante un suceso histórico e </w:t>
      </w:r>
      <w:proofErr w:type="spellStart"/>
      <w:r w:rsidRPr="00F80EC1">
        <w:rPr>
          <w:lang w:val="es-MX"/>
        </w:rPr>
        <w:t>íncertidumbre</w:t>
      </w:r>
      <w:proofErr w:type="spellEnd"/>
      <w:r w:rsidRPr="00F80EC1">
        <w:rPr>
          <w:lang w:val="es-MX"/>
        </w:rPr>
        <w:t xml:space="preserve"> radical de la «verdad»), ejemplifica perfectamente el riesgo letal que tiene para la Historia profesional el discurso historiográfico postmodernista. Es un magnífico ejercicio de belleza narrativa, poder de evocación y entretenimiento estético y literario. ¿Pero cabe considerarla como un modelo orientativo para la práctica de la historiografía en su conjunto? ¿Acaso no hay otras actividades mucho más fructíferas y mejor preparadas para obtener esos mismos resultados triplicados? Por ejemplo, la mera novela histórica verosímil y sin pretensiones de «verdad» (como El nombre de la rosa de Umberto Eco), las artes pictóricas cuando son figurativas (como El dos de mayo de Goya), el cine (como La caída de los dioses de </w:t>
      </w:r>
      <w:proofErr w:type="spellStart"/>
      <w:r w:rsidRPr="00F80EC1">
        <w:rPr>
          <w:lang w:val="es-MX"/>
        </w:rPr>
        <w:t>Luchino</w:t>
      </w:r>
      <w:proofErr w:type="spellEnd"/>
      <w:r w:rsidRPr="00F80EC1">
        <w:rPr>
          <w:lang w:val="es-MX"/>
        </w:rPr>
        <w:t xml:space="preserve"> Visconti), el «documental dramatizado» televisivo y la propia melodía musical (como la marcha Pompa y circunstancia de Edward Elgar). Y puesto que ello es así y no hay modo de competir ¿no significaría ese modelo orientativo la muerte misma, la desaparición final, de la disciplina histórica tal y como está constituida desde su cristalización a principios del siglo XIX? (</w:t>
      </w:r>
      <w:proofErr w:type="spellStart"/>
      <w:r w:rsidRPr="00F80EC1">
        <w:rPr>
          <w:lang w:val="es-MX"/>
        </w:rPr>
        <w:t>Moradiellos</w:t>
      </w:r>
      <w:proofErr w:type="spellEnd"/>
      <w:r w:rsidRPr="00F80EC1">
        <w:rPr>
          <w:lang w:val="es-MX"/>
        </w:rPr>
        <w:t>, 2001, pp. 154-155).</w:t>
      </w:r>
    </w:p>
    <w:p w14:paraId="4C0F0FFF" w14:textId="77777777" w:rsidR="00F95105" w:rsidRPr="00F80EC1" w:rsidRDefault="00000000">
      <w:pPr>
        <w:ind w:firstLine="0"/>
        <w:rPr>
          <w:lang w:val="es-MX"/>
        </w:rPr>
      </w:pPr>
      <w:r w:rsidRPr="00F80EC1">
        <w:rPr>
          <w:b/>
          <w:lang w:val="es-MX"/>
        </w:rPr>
        <w:t>Cita 5 (pp. 161-162)</w:t>
      </w:r>
    </w:p>
    <w:p w14:paraId="78E57DC7" w14:textId="77777777" w:rsidR="00F95105" w:rsidRPr="00F80EC1" w:rsidRDefault="00000000">
      <w:pPr>
        <w:ind w:left="720" w:firstLine="0"/>
        <w:jc w:val="both"/>
        <w:rPr>
          <w:lang w:val="es-MX"/>
        </w:rPr>
      </w:pPr>
      <w:r w:rsidRPr="00F80EC1">
        <w:rPr>
          <w:lang w:val="es-MX"/>
        </w:rPr>
        <w:t xml:space="preserve">¿Cómo ordenar ese material informe (propio de la Historia de las sociedades humanas)? Nuestra respuesta es clara a este respecto: se distinguen tres niveles básicos en los que se puede sintetizar las actividades, teóricas y prácticas, de los humanos: la base material o </w:t>
      </w:r>
      <w:r w:rsidRPr="00F80EC1">
        <w:rPr>
          <w:lang w:val="es-MX"/>
        </w:rPr>
        <w:lastRenderedPageBreak/>
        <w:t>estructura económico- social, la organización jurídico-política y el campo de las ideas en su sentido más amplio</w:t>
      </w:r>
      <w:r w:rsidRPr="00F80EC1">
        <w:rPr>
          <w:vertAlign w:val="superscript"/>
          <w:lang w:val="es-MX"/>
        </w:rPr>
        <w:t>228</w:t>
      </w:r>
      <w:r w:rsidRPr="00F80EC1">
        <w:rPr>
          <w:lang w:val="es-MX"/>
        </w:rPr>
        <w:t xml:space="preserve">. Por nuestra parte, siguiendo esas mismas directrices genéricas, asumimos la necesidad de considerar la Historia (en su sentido de Res </w:t>
      </w:r>
      <w:proofErr w:type="spellStart"/>
      <w:r w:rsidRPr="00F80EC1">
        <w:rPr>
          <w:lang w:val="es-MX"/>
        </w:rPr>
        <w:t>Gestae</w:t>
      </w:r>
      <w:proofErr w:type="spellEnd"/>
      <w:r w:rsidRPr="00F80EC1">
        <w:rPr>
          <w:lang w:val="es-MX"/>
        </w:rPr>
        <w:t xml:space="preserve">) como el proceso evolutivo de las formas de sociedad humanas desarrollado sobre el espacio geográfico y a lo largo del tiempo secuencial. Esas sociedades humanas cabe entenderlas como sistemas dinámicos y complejos cuyos componentes básicos son individuos operativos que mantienen entre sí relaciones e interacciones de naturaleza social y </w:t>
      </w:r>
      <w:proofErr w:type="spellStart"/>
      <w:r w:rsidRPr="00F80EC1">
        <w:rPr>
          <w:lang w:val="es-MX"/>
        </w:rPr>
        <w:t>supra-subjetiva</w:t>
      </w:r>
      <w:proofErr w:type="spellEnd"/>
      <w:r w:rsidRPr="00F80EC1">
        <w:rPr>
          <w:lang w:val="es-MX"/>
        </w:rPr>
        <w:t xml:space="preserve"> (incluyendo la constitución de grupos o clases de individuos de orden diverso que se estructuran a su vez como partes activas del sistema complejo). Estas relaciones entre individuos y grupos humanos pueden ser básicamente de cuatro órdenes diferentes pero conexos (</w:t>
      </w:r>
      <w:proofErr w:type="gramStart"/>
      <w:r w:rsidRPr="00F80EC1">
        <w:rPr>
          <w:lang w:val="es-MX"/>
        </w:rPr>
        <w:t>distinguibles</w:t>
      </w:r>
      <w:proofErr w:type="gramEnd"/>
      <w:r w:rsidRPr="00F80EC1">
        <w:rPr>
          <w:lang w:val="es-MX"/>
        </w:rPr>
        <w:t xml:space="preserve"> pero </w:t>
      </w:r>
      <w:proofErr w:type="spellStart"/>
      <w:r w:rsidRPr="00F80EC1">
        <w:rPr>
          <w:lang w:val="es-MX"/>
        </w:rPr>
        <w:t>indisocia-bles</w:t>
      </w:r>
      <w:proofErr w:type="spellEnd"/>
      <w:r w:rsidRPr="00F80EC1">
        <w:rPr>
          <w:lang w:val="es-MX"/>
        </w:rPr>
        <w:t xml:space="preserve">): biológicas (relaciones de filiación y parentesco entre individuos y grupos de individuos), económicas (relaciones de producción material), políticas (relaciones de coordinación, dominación y de poder) y culturales (relaciones de comunicación). La peculiar estructura de una sociedad humana determinada dependerá de la configuración de las múltiples relaciones que efectivamente se materialicen en su seno y del carácter de los grupos y clases configurados en el mismo sistema social. Aparte de su propia estructura, dicha sociedad está caracterizada también por un determinado entorno definido por el medio natural geográfico y el medio social (otras sociedades diferentes) que interactúan con ella misma de modo constante y permanente a través de distintos mecanismos y vías: los recursos naturales disponibles o ausentes, la influencia del tipo de clima sobre las actividades productivas, el intercambio comercial y mercantil con otras sociedades, la relación diplomática interestatal, el enfrentamiento bélico, la comunicación e interpenetración cultural, etc. En todos esos </w:t>
      </w:r>
      <w:r w:rsidRPr="00F80EC1">
        <w:rPr>
          <w:lang w:val="es-MX"/>
        </w:rPr>
        <w:lastRenderedPageBreak/>
        <w:t xml:space="preserve">casos de sistemas sociales históricos, postulamos la necesidad de concebir esas cuatro dimensiones básicas de la actividad de los hombres como esferas diferentes pero conexas y mutuamente influyentes e interdependientes, nunca como ámbitos atomizados que tuvieran su propia lógica interna y autónoma de evolución y transformación. Además, asumimos igualmente que dicha percepción del ámbito histórico como potencial sistema global de conexiones internas no conlleva la idea teleológica de una finalidad del proceso evolutivo ni presupone un sentido previo y predecible del propio devenir de la(s) historia(s) humana(s). Nuevamente en palabras de Julio </w:t>
      </w:r>
      <w:proofErr w:type="spellStart"/>
      <w:r w:rsidRPr="00F80EC1">
        <w:rPr>
          <w:lang w:val="es-MX"/>
        </w:rPr>
        <w:t>Valdeón</w:t>
      </w:r>
      <w:proofErr w:type="spellEnd"/>
      <w:r w:rsidRPr="00F80EC1">
        <w:rPr>
          <w:lang w:val="es-MX"/>
        </w:rPr>
        <w:t>: «Entre estos niveles la comunicación es constante y la relación dialéctica. Entre ellos existe una evidente articulación</w:t>
      </w:r>
      <w:r w:rsidRPr="00F80EC1">
        <w:rPr>
          <w:vertAlign w:val="superscript"/>
          <w:lang w:val="es-MX"/>
        </w:rPr>
        <w:t>229</w:t>
      </w:r>
      <w:r w:rsidRPr="00F80EC1">
        <w:rPr>
          <w:lang w:val="es-MX"/>
        </w:rPr>
        <w:t xml:space="preserve">. De este modo, la refutación de la idea de una Historia «en migajas» y desmenuzada posibilitaría que la enseñanza e investigación históricas siguieran cumpliendo su necesaria labor de pedagogía, ilustración y filtro crítico y catártico para la edificación y supervivencia de la conciencia histórica y racionalista de los individuos y sociedades de nuestra época actual. A este respecto, y para poner punto final a esta obra, resulta conveniente reproducir las oportunas y certeras palabras de un maestro recientemente fallecido como fue James </w:t>
      </w:r>
      <w:proofErr w:type="spellStart"/>
      <w:r w:rsidRPr="00F80EC1">
        <w:rPr>
          <w:lang w:val="es-MX"/>
        </w:rPr>
        <w:t>Joll</w:t>
      </w:r>
      <w:proofErr w:type="spellEnd"/>
      <w:r w:rsidRPr="00F80EC1">
        <w:rPr>
          <w:lang w:val="es-MX"/>
        </w:rPr>
        <w:t>: Los historiadores profesionales no deben tratar de escapar a su responsabilidad de formar la conciencia histórica de un público amplio y sería muy lamentable que abandonaran esa labor por completo a los productores de televisión. [...] tanto si estamos escribiendo Historia nacional, microhistoria, Historia de los negros, de las mujeres u otra, debemos escribir Historia de tal modo que alguien más que nuestros propios competidores profesionales puedan querer leerla</w:t>
      </w:r>
      <w:r w:rsidRPr="00F80EC1">
        <w:rPr>
          <w:vertAlign w:val="superscript"/>
          <w:lang w:val="es-MX"/>
        </w:rPr>
        <w:t>230</w:t>
      </w:r>
      <w:r w:rsidRPr="00F80EC1">
        <w:rPr>
          <w:lang w:val="es-MX"/>
        </w:rPr>
        <w:t>. (</w:t>
      </w:r>
      <w:proofErr w:type="spellStart"/>
      <w:r w:rsidRPr="00F80EC1">
        <w:rPr>
          <w:lang w:val="es-MX"/>
        </w:rPr>
        <w:t>Moradiellos</w:t>
      </w:r>
      <w:proofErr w:type="spellEnd"/>
      <w:r w:rsidRPr="00F80EC1">
        <w:rPr>
          <w:lang w:val="es-MX"/>
        </w:rPr>
        <w:t>, 2001, pp. 161-162).</w:t>
      </w:r>
    </w:p>
    <w:p w14:paraId="17173AD3" w14:textId="77777777" w:rsidR="00F95105" w:rsidRPr="00F80EC1" w:rsidRDefault="00000000">
      <w:pPr>
        <w:ind w:firstLine="0"/>
        <w:jc w:val="center"/>
        <w:rPr>
          <w:lang w:val="es-MX"/>
        </w:rPr>
      </w:pPr>
      <w:r w:rsidRPr="00F80EC1">
        <w:rPr>
          <w:b/>
          <w:lang w:val="es-MX"/>
        </w:rPr>
        <w:t>Referencia</w:t>
      </w:r>
    </w:p>
    <w:p w14:paraId="71386A1F" w14:textId="77777777" w:rsidR="00F95105" w:rsidRDefault="00000000">
      <w:pPr>
        <w:ind w:left="720" w:hanging="720"/>
        <w:jc w:val="both"/>
      </w:pPr>
      <w:proofErr w:type="spellStart"/>
      <w:r w:rsidRPr="00F80EC1">
        <w:rPr>
          <w:lang w:val="es-MX"/>
        </w:rPr>
        <w:lastRenderedPageBreak/>
        <w:t>Moradiellos</w:t>
      </w:r>
      <w:proofErr w:type="spellEnd"/>
      <w:r w:rsidRPr="00F80EC1">
        <w:rPr>
          <w:lang w:val="es-MX"/>
        </w:rPr>
        <w:t xml:space="preserve">, E. (2001). Las caras de Clío: Una introducción a la historia. </w:t>
      </w:r>
      <w:proofErr w:type="spellStart"/>
      <w:r>
        <w:t>Siglo</w:t>
      </w:r>
      <w:proofErr w:type="spellEnd"/>
      <w:r>
        <w:t xml:space="preserve"> XXI de </w:t>
      </w:r>
      <w:proofErr w:type="spellStart"/>
      <w:r>
        <w:t>España</w:t>
      </w:r>
      <w:proofErr w:type="spellEnd"/>
      <w:r>
        <w:t xml:space="preserve"> Editores.</w:t>
      </w:r>
    </w:p>
    <w:sectPr w:rsidR="00F9510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5A127" w14:textId="77777777" w:rsidR="003B5FFB" w:rsidRDefault="003B5FFB">
      <w:pPr>
        <w:spacing w:line="240" w:lineRule="auto"/>
      </w:pPr>
      <w:r>
        <w:separator/>
      </w:r>
    </w:p>
  </w:endnote>
  <w:endnote w:type="continuationSeparator" w:id="0">
    <w:p w14:paraId="6B89FF91" w14:textId="77777777" w:rsidR="003B5FFB" w:rsidRDefault="003B5F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C5EED" w14:textId="77777777" w:rsidR="003B5FFB" w:rsidRDefault="003B5FFB">
      <w:pPr>
        <w:spacing w:line="240" w:lineRule="auto"/>
      </w:pPr>
      <w:r>
        <w:separator/>
      </w:r>
    </w:p>
  </w:footnote>
  <w:footnote w:type="continuationSeparator" w:id="0">
    <w:p w14:paraId="0E8C6A44" w14:textId="77777777" w:rsidR="003B5FFB" w:rsidRDefault="003B5F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D4B75" w14:textId="77777777" w:rsidR="00F95105" w:rsidRDefault="00000000">
    <w:pPr>
      <w:pStyle w:val="Header"/>
      <w:jc w:val="right"/>
    </w:pPr>
    <w:r>
      <w:fldChar w:fldCharType="begin"/>
    </w:r>
    <w:r>
      <w:instrText>PAGE</w:instrText>
    </w:r>
    <w:r w:rsidR="00F80EC1">
      <w:fldChar w:fldCharType="separate"/>
    </w:r>
    <w:r w:rsidR="00F80EC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20316">
    <w:abstractNumId w:val="8"/>
  </w:num>
  <w:num w:numId="2" w16cid:durableId="1114834873">
    <w:abstractNumId w:val="6"/>
  </w:num>
  <w:num w:numId="3" w16cid:durableId="1816532564">
    <w:abstractNumId w:val="5"/>
  </w:num>
  <w:num w:numId="4" w16cid:durableId="1141267774">
    <w:abstractNumId w:val="4"/>
  </w:num>
  <w:num w:numId="5" w16cid:durableId="1913925955">
    <w:abstractNumId w:val="7"/>
  </w:num>
  <w:num w:numId="6" w16cid:durableId="280648823">
    <w:abstractNumId w:val="3"/>
  </w:num>
  <w:num w:numId="7" w16cid:durableId="847793176">
    <w:abstractNumId w:val="2"/>
  </w:num>
  <w:num w:numId="8" w16cid:durableId="87117744">
    <w:abstractNumId w:val="1"/>
  </w:num>
  <w:num w:numId="9" w16cid:durableId="200882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FFB"/>
    <w:rsid w:val="009E30C7"/>
    <w:rsid w:val="00AA1D8D"/>
    <w:rsid w:val="00B47730"/>
    <w:rsid w:val="00CB0664"/>
    <w:rsid w:val="00F046E1"/>
    <w:rsid w:val="00F80EC1"/>
    <w:rsid w:val="00F95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CCE1E"/>
  <w14:defaultImageDpi w14:val="300"/>
  <w15:docId w15:val="{E855EF4A-E92E-4D99-903A-94098365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3237</Words>
  <Characters>17805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Maillet</cp:lastModifiedBy>
  <cp:revision>2</cp:revision>
  <dcterms:created xsi:type="dcterms:W3CDTF">2026-04-08T00:26:00Z</dcterms:created>
  <dcterms:modified xsi:type="dcterms:W3CDTF">2026-04-08T00:26:00Z</dcterms:modified>
  <cp:category/>
</cp:coreProperties>
</file>