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center"/>
        <w:rPr>
          <w:rFonts w:ascii="Cambria" w:cs="Cambria" w:eastAsia="Cambria" w:hAnsi="Cambria"/>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NBA Conferences Revision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Regular Season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Pacific/North Atlantic Conference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team must play 4 games against each team in its conference (28/24 games)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team must play 2 games against each of the 15 teams from the Central and Southeast conferences (30 games)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team must play 3 games against each of the 7/8 teams in the other coastal conference (21/24 games)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team must play 1 game against any 3/4 teams in any conference (3/4 games)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Central/Southeast Conference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team must play 4 games against each team in its conference (28/24 games)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team must play 2 games against each of the 15 teams from the Pacific and North Atlantic conferences (30 games)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team must play 3 games against each of the 7/8 teams in the other mid-USA conference (21/24 games)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team must play 1 game against any 3/4 teams in any conference (3/4 games)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Playoffs</w:t>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Top 4 teams from each conference go into conference bracket ranked by regular season records. Team ranked first plays last, etc. like usual. In the end, There will be 4 conference champions.</w:t>
      </w:r>
    </w:p>
    <w:p w:rsidR="00000000" w:rsidDel="00000000" w:rsidP="00000000" w:rsidRDefault="00000000" w:rsidRPr="00000000">
      <w:pPr>
        <w:contextualSpacing w:val="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It could progress two ways from here.</w:t>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champions face of in a bracket until the NBA champions come out. Teams can only be conference champions and NBA champions.</w:t>
      </w:r>
    </w:p>
    <w:p w:rsidR="00000000" w:rsidDel="00000000" w:rsidP="00000000" w:rsidRDefault="00000000" w:rsidRPr="00000000">
      <w:pPr>
        <w:contextualSpacing w:val="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or</w:t>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Quarter Finals see the conference champions face off, contingent on not allowing the Pacific conference champions to face the North Atlantic conference champions for travel considerations. Then the game containing the Pacific conference champions could be the Western (super) conference finals and the game containing the North Atlantic conference champions could be the Eastern (super) conference finals.</w:t>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Eastern and Western conference champions still face off as normal, but teams from the mid-conferences could be both Eastern or Western conference champions in different years.</w:t>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Other Notes: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might work more intuitively if both Pacific/North Atlantic had 8 teams each ( possibly Cavaliers or Pistons go from Central to North Atlantic or Thunder go to Southeast while Hawks go to North Atlantic)</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Central and Southeast conference teams will likely have easier travel for regular season. However, Western conference landmass has always been larger than Eastern conference and that didn’t noticeably affect much.</w:t>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Appendix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Current Regular Season template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team must play 4 games against each team in its division (16 games)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Each team must play 4 games against 6 teams from the same conference but other divisions (24 games)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team must play 3 games against each of the 4 remaining teams on the conference (12 games)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team must play 2 games against each of the 15 teams on the other conference (30 games)</w:t>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uiqtextpara" w:customStyle="1">
    <w:name w:val="ui_qtext_para"/>
    <w:basedOn w:val="Normal"/>
    <w:rsid w:val="00205868"/>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B66FC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