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7F5A34">
      <w:pPr>
        <w:jc w:val="center"/>
        <w:rPr>
          <w:rFonts w:hint="eastAsia" w:ascii="汉仪帅线体简" w:hAnsi="汉仪帅线体简" w:eastAsia="汉仪帅线体简" w:cs="汉仪帅线体简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DDDC74B">
      <w:pPr>
        <w:jc w:val="center"/>
        <w:rPr>
          <w:rFonts w:hint="eastAsia" w:ascii="汉仪帅线体简" w:hAnsi="汉仪帅线体简" w:eastAsia="汉仪帅线体简" w:cs="汉仪帅线体简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61D28A36">
      <w:pPr>
        <w:jc w:val="center"/>
        <w:rPr>
          <w:rFonts w:hint="eastAsia" w:ascii="汉仪帅线体简" w:hAnsi="汉仪帅线体简" w:eastAsia="汉仪帅线体简" w:cs="汉仪帅线体简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3D4CF83">
      <w:pPr>
        <w:jc w:val="center"/>
        <w:rPr>
          <w:rFonts w:hint="eastAsia" w:ascii="汉仪帅线体简" w:hAnsi="汉仪帅线体简" w:eastAsia="汉仪帅线体简" w:cs="汉仪帅线体简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05C38DCE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114300" distR="114300">
                <wp:extent cx="5492115" cy="1609090"/>
                <wp:effectExtent l="0" t="0" r="13335" b="10160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5740" y="4430395"/>
                          <a:ext cx="5492115" cy="160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65F6E">
                            <w:pPr>
                              <w:jc w:val="center"/>
                              <w:rPr>
                                <w:rFonts w:hint="default" w:ascii="Segoe Script" w:hAnsi="Segoe Script" w:eastAsia="宋体" w:cs="Segoe Script"/>
                                <w:sz w:val="156"/>
                                <w:szCs w:val="1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Segoe Script" w:hAnsi="Segoe Script" w:cs="Segoe Script"/>
                                <w:sz w:val="156"/>
                                <w:szCs w:val="156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Segoe Script" w:hAnsi="Segoe Script" w:cs="Segoe Script"/>
                                <w:sz w:val="156"/>
                                <w:szCs w:val="156"/>
                                <w:lang w:val="en-US" w:eastAsia="zh-CN"/>
                              </w:rPr>
                              <w:instrText xml:space="preserve"> HYPERLINK "https://download.csdn.net/download/qq_42712244/89533054?spm=1001.2014.3001.5501" </w:instrText>
                            </w:r>
                            <w:r>
                              <w:rPr>
                                <w:rFonts w:hint="eastAsia" w:ascii="Segoe Script" w:hAnsi="Segoe Script" w:cs="Segoe Script"/>
                                <w:sz w:val="156"/>
                                <w:szCs w:val="156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16"/>
                                <w:rFonts w:hint="eastAsia" w:ascii="Segoe Script" w:hAnsi="Segoe Script" w:cs="Segoe Script"/>
                                <w:sz w:val="156"/>
                                <w:szCs w:val="156"/>
                                <w:lang w:val="en-US" w:eastAsia="zh-CN"/>
                              </w:rPr>
                              <w:t>ABCDRez</w:t>
                            </w:r>
                            <w:r>
                              <w:rPr>
                                <w:rFonts w:hint="eastAsia" w:ascii="Segoe Script" w:hAnsi="Segoe Script" w:cs="Segoe Script"/>
                                <w:sz w:val="156"/>
                                <w:szCs w:val="156"/>
                                <w:lang w:val="en-US" w:eastAsia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7pt;width:432.45pt;" fillcolor="#FFFFFF [3201]" filled="t" stroked="f" coordsize="21600,21600" o:gfxdata="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CNw4S0gAA&#10;AAUBAAAPAAAAAAAAAAEAIAAAACIAAABkcnMvZG93bnJldi54bWxQSwECFAAUAAAACACHTuJA1sht&#10;nV0CAACeBAAADgAAAAAAAAABACAAAAAh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22865F6E">
                      <w:pPr>
                        <w:jc w:val="center"/>
                        <w:rPr>
                          <w:rFonts w:hint="default" w:ascii="Segoe Script" w:hAnsi="Segoe Script" w:eastAsia="宋体" w:cs="Segoe Script"/>
                          <w:sz w:val="156"/>
                          <w:szCs w:val="156"/>
                          <w:lang w:val="en-US" w:eastAsia="zh-CN"/>
                        </w:rPr>
                      </w:pPr>
                      <w:r>
                        <w:rPr>
                          <w:rFonts w:hint="eastAsia" w:ascii="Segoe Script" w:hAnsi="Segoe Script" w:cs="Segoe Script"/>
                          <w:sz w:val="156"/>
                          <w:szCs w:val="156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Segoe Script" w:hAnsi="Segoe Script" w:cs="Segoe Script"/>
                          <w:sz w:val="156"/>
                          <w:szCs w:val="156"/>
                          <w:lang w:val="en-US" w:eastAsia="zh-CN"/>
                        </w:rPr>
                        <w:instrText xml:space="preserve"> HYPERLINK "https://download.csdn.net/download/qq_42712244/89533054?spm=1001.2014.3001.5501" </w:instrText>
                      </w:r>
                      <w:r>
                        <w:rPr>
                          <w:rFonts w:hint="eastAsia" w:ascii="Segoe Script" w:hAnsi="Segoe Script" w:cs="Segoe Script"/>
                          <w:sz w:val="156"/>
                          <w:szCs w:val="156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16"/>
                          <w:rFonts w:hint="eastAsia" w:ascii="Segoe Script" w:hAnsi="Segoe Script" w:cs="Segoe Script"/>
                          <w:sz w:val="156"/>
                          <w:szCs w:val="156"/>
                          <w:lang w:val="en-US" w:eastAsia="zh-CN"/>
                        </w:rPr>
                        <w:t>ABCDRez</w:t>
                      </w:r>
                      <w:r>
                        <w:rPr>
                          <w:rFonts w:hint="eastAsia" w:ascii="Segoe Script" w:hAnsi="Segoe Script" w:cs="Segoe Script"/>
                          <w:sz w:val="156"/>
                          <w:szCs w:val="156"/>
                          <w:lang w:val="en-US" w:eastAsia="zh-CN"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7525444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67F08065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5F8FA290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55104421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506FE0A3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2FF9CA44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19D01B0E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 w14:paraId="4FE481CE">
      <w:pPr>
        <w:jc w:val="right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114300" distR="114300">
                <wp:extent cx="2793365" cy="1365885"/>
                <wp:effectExtent l="0" t="0" r="6985" b="5715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5740" y="4430395"/>
                          <a:ext cx="2793365" cy="136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5359E">
                            <w:pPr>
                              <w:jc w:val="right"/>
                              <w:rPr>
                                <w:rFonts w:hint="eastAsia" w:ascii="Segoe Script" w:hAnsi="Segoe Script" w:cs="Segoe Script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Segoe Script" w:hAnsi="Segoe Script" w:cs="Segoe Script"/>
                                <w:sz w:val="48"/>
                                <w:szCs w:val="48"/>
                                <w:lang w:val="en-US" w:eastAsia="zh-CN"/>
                              </w:rPr>
                              <w:t>Quincy Howard</w:t>
                            </w:r>
                          </w:p>
                          <w:p w14:paraId="65BC0D18">
                            <w:pPr>
                              <w:jc w:val="right"/>
                              <w:rPr>
                                <w:rFonts w:hint="default" w:ascii="Segoe Script" w:hAnsi="Segoe Script" w:cs="Segoe Script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Segoe Script" w:hAnsi="Segoe Script" w:cs="Segoe Script"/>
                                <w:sz w:val="48"/>
                                <w:szCs w:val="48"/>
                                <w:lang w:val="en-US" w:eastAsia="zh-CN"/>
                              </w:rPr>
                              <w:t>2024.07.10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7.55pt;width:219.95pt;" fillcolor="#FFFFFF [3201]" filled="t" stroked="f" coordsize="21600,21600" o:gfxdata="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XXqKHSAAAA&#10;BQEAAA8AAAAAAAAAAQAgAAAAIgAAAGRycy9kb3ducmV2LnhtbFBLAQIUABQAAAAIAIdO4kDIupE3&#10;XAIAAJ4EAAAOAAAAAAAAAAEAIAAAACE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205359E">
                      <w:pPr>
                        <w:jc w:val="right"/>
                        <w:rPr>
                          <w:rFonts w:hint="eastAsia" w:ascii="Segoe Script" w:hAnsi="Segoe Script" w:cs="Segoe Script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 w:ascii="Segoe Script" w:hAnsi="Segoe Script" w:cs="Segoe Script"/>
                          <w:sz w:val="48"/>
                          <w:szCs w:val="48"/>
                          <w:lang w:val="en-US" w:eastAsia="zh-CN"/>
                        </w:rPr>
                        <w:t>Quincy Howard</w:t>
                      </w:r>
                    </w:p>
                    <w:p w14:paraId="65BC0D18">
                      <w:pPr>
                        <w:jc w:val="right"/>
                        <w:rPr>
                          <w:rFonts w:hint="default" w:ascii="Segoe Script" w:hAnsi="Segoe Script" w:cs="Segoe Script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 w:ascii="Segoe Script" w:hAnsi="Segoe Script" w:cs="Segoe Script"/>
                          <w:sz w:val="48"/>
                          <w:szCs w:val="48"/>
                          <w:lang w:val="en-US" w:eastAsia="zh-CN"/>
                        </w:rPr>
                        <w:t>2024.07.10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EB64801">
      <w:pP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  <w:br w:type="page"/>
      </w:r>
    </w:p>
    <w:p w14:paraId="6D4E314D">
      <w:pPr>
        <w:jc w:val="center"/>
        <w:rPr>
          <w:rFonts w:hint="eastAsia" w:ascii="汉仪帅线体简" w:hAnsi="汉仪帅线体简" w:eastAsia="汉仪帅线体简" w:cs="汉仪帅线体简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sectPr>
          <w:headerReference r:id="rId3" w:type="first"/>
          <w:footerReference r:id="rId4" w:type="firs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A920B1B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dt>
      <w:sdtPr>
        <w:rPr>
          <w:rFonts w:hint="default" w:ascii="Times New Roman" w:hAnsi="Times New Roman" w:eastAsia="宋体" w:cs="Times New Roman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id w:val="14747871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color w:val="000000" w:themeColor="text1"/>
          <w:kern w:val="2"/>
          <w:sz w:val="21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 w14:paraId="744CF58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b/>
              <w:bCs/>
              <w:color w:val="000000" w:themeColor="text1"/>
              <w:kern w:val="2"/>
              <w:sz w:val="52"/>
              <w:szCs w:val="52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t>目 录</w:t>
          </w:r>
        </w:p>
        <w:p w14:paraId="25266A7F">
          <w:pPr>
            <w:pStyle w:val="10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permStart w:id="0" w:edGrp="everyone"/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TOC \o "1-4" \h \u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_Toc10759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第一部分 说明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_Toc10759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CE5F2E1">
          <w:pPr>
            <w:pStyle w:val="10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_Toc27927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第二部分 基础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_Toc27927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4C8A4FD7">
          <w:pPr>
            <w:pStyle w:val="12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_Toc25272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 高斯光束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_Toc25272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1266551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_Toc32150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2.1.1 高斯光束的推导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_Toc32150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003E1F6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_Toc20782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2.1.2 高斯光束的查看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_Toc20782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33540CE5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_Toc25470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2.1.2.1 高阶与低阶高斯光束轮廓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_Toc25470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4025F82D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_Toc22582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2.1.2.2 基模高斯光束的查看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_Toc22582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6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3B1F41A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_Toc15941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2.1.2.3 拉盖尔高斯光束与厄米高斯光束的查看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_Toc15941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9854DD5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_Toc10723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2.1.3 基础传输矩阵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_Toc10723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9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1E65E503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_Toc3679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2.1.3.1 常用光学矩阵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_Toc3679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9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0FD1862B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_Toc10453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2.1.3.2 晶体近似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_Toc10453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10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32E6F69A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_Toc2016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2.1.4 复杂光束传输矩阵的使用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_Toc2016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14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1F19C015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_Toc3307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2.1.5 光束拟合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_Toc3307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18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3B3B5EDE">
          <w:pPr>
            <w:pStyle w:val="10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_Toc20218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第三部分 应用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_Toc20218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20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6F7113F4">
          <w:pPr>
            <w:pStyle w:val="12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_Toc11815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3.1 光束调节与匹配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_Toc11815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20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5E4B946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_Toc5567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3.1.1 望远镜调节与设计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_Toc5567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20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057287D2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_Toc12304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3.1.2 单程或多程放大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_Toc12304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21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05530CEB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_Toc3205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3.1.2.1 棒状晶体热透镜效应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_Toc3205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21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28C2F968">
          <w:pPr>
            <w:pStyle w:val="11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_Toc22748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3.1.2.</w:t>
          </w:r>
          <w:r>
            <w:rPr>
              <w:rFonts w:hint="eastAsia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反射自再现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_Toc22748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23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6F99E89D">
          <w:pPr>
            <w:pStyle w:val="12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_Toc25314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3.2 驻波谐振腔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_Toc25314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24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6095A513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_Toc31521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3.2.1 两个厚透镜晶体加曲面腔镜的谐振腔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_Toc31521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24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1AC07F42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_Toc17695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3.2.2 定距离求曲率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_Toc17695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25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4001E054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_Toc19941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3.2.3 定曲率求距离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_Toc19941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26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94677CA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_Toc25222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3.2.4 腔内聚焦光束的设计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_Toc25222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26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07FCCD5D">
          <w:pPr>
            <w:pStyle w:val="12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_Toc11835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3.3 行波谐振腔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_Toc11835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27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4E098D1C">
          <w:pPr>
            <w:pStyle w:val="7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_Toc11013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t>3.3.1 两个厚透镜晶体加透镜的谐振腔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_Toc11013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27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76D6466">
          <w:pPr>
            <w:pStyle w:val="10"/>
            <w:tabs>
              <w:tab w:val="right" w:leader="dot" w:pos="8306"/>
            </w:tabs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HYPERLINK \l _Toc24281 </w:instrText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color w:val="000000" w:themeColor="text1"/>
              <w:kern w:val="44"/>
              <w:szCs w:val="24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t>第四部分 总结与致谢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_Toc24281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29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C6C115F">
          <w:pPr>
            <w:rPr>
              <w:rFonts w:hint="default" w:ascii="Times New Roman" w:hAnsi="Times New Roman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 w:ascii="Times New Roman" w:hAnsi="Times New Roman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permEnd w:id="0"/>
          <w:bookmarkStart w:id="0" w:name="_Toc22717"/>
        </w:p>
      </w:sdtContent>
    </w:sdt>
    <w:p w14:paraId="3FD73F81">
      <w:pPr>
        <w:pStyle w:val="2"/>
        <w:bidi w:val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" w:name="_Toc10759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第一部分 </w:t>
      </w:r>
      <w:bookmarkEnd w:id="0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</w:t>
      </w:r>
      <w:bookmarkEnd w:id="1"/>
    </w:p>
    <w:p w14:paraId="3EBD63B6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170C31F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现阶段用于激光谐振腔的仿真软件多种多样，但大多已是集合而成，用户无法了解其详细内容。</w:t>
      </w:r>
    </w:p>
    <w:p w14:paraId="411898B9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本代码包（</w:t>
      </w:r>
      <w:r>
        <w:rPr>
          <w:rFonts w:hint="eastAsia" w:hAnsi="Times New Roman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ABCDRez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）是基于MATLAB语言的激光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高斯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光束传输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（Laser Gaussian Beam Propagation）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及激光谐振腔仿真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（Laser Resonator Simulation）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代码包。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文章使用高斯光束描述激光，简单介绍了热效应（Thermal Effect）、腔内非线性变换（Nonlinear Frequency Transformation），主要介绍了光束的调节与匹配（Beam Adjusting and Matching）、驻波谐振腔（Standing Stable Resonator）、行波谐振腔（Traveling Stable Resonator）相关内容。用接近数学表达式的自然化语言，使用户更易学习、掌握及灵活运用。</w:t>
      </w:r>
    </w:p>
    <w:p w14:paraId="6A2893CD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其核心内容可以参见吕百达教授著《激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光光学 光束描述、传输变换与光腔技术物理》、reZonator软件官网、羊国光教授等著《高等物理光学》、李港教授著《激光频率的变换与扩展》、Walter Koechner著《固体激光工程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》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等。</w:t>
      </w:r>
    </w:p>
    <w:p w14:paraId="087E8255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F71864C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 w14:paraId="5DD8E50F">
      <w:pPr>
        <w:pStyle w:val="2"/>
        <w:bidi w:val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" w:name="_Toc27724"/>
      <w:bookmarkStart w:id="3" w:name="_Toc27927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第二部分 </w:t>
      </w:r>
      <w:bookmarkEnd w:id="2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基础</w:t>
      </w:r>
      <w:bookmarkEnd w:id="3"/>
    </w:p>
    <w:p w14:paraId="7E27F225">
      <w:pPr>
        <w:pStyle w:val="3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4" w:name="_Toc25272"/>
      <w:bookmarkStart w:id="5" w:name="_Toc8278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 高斯光束</w:t>
      </w:r>
      <w:bookmarkEnd w:id="4"/>
      <w:bookmarkEnd w:id="5"/>
    </w:p>
    <w:p w14:paraId="317C952C">
      <w:pPr>
        <w:pStyle w:val="4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6" w:name="_Toc31557"/>
      <w:bookmarkStart w:id="7" w:name="_Toc32150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2.1.1 高斯光束的推导</w:t>
      </w:r>
      <w:bookmarkEnd w:id="6"/>
      <w:bookmarkEnd w:id="7"/>
    </w:p>
    <w:p w14:paraId="38E73E36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设沿坐标</w:t>
      </w:r>
      <w:r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z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方向传播的细光束，在不计介质损耗的情况下，其光波的复振幅可以近似表达为</w:t>
      </w:r>
    </w:p>
    <w:p w14:paraId="5B31690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u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x,y,z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=U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x,y,z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p>
          <m:sSup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−jkz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2.1.1.1）</w:t>
      </w:r>
    </w:p>
    <w:p w14:paraId="57239A1E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k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为传播常数（即波矢量的值），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−jkz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表示沿坐标</w:t>
      </w:r>
      <w:r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z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方向迅速变化的相位项，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U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则为坐标</w:t>
      </w:r>
      <w:r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z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的缓慢变化的函数，代入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亥姆霍兹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方程，得到</w:t>
      </w:r>
      <w:r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U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满足的标量方程</w:t>
      </w:r>
    </w:p>
    <w:p w14:paraId="0E502876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∂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U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∂</m:t>
                    </m:r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+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∂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U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∂</m:t>
                    </m:r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y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+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∂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U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∂</m:t>
                    </m:r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−2jk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∂U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∂z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−jkz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=0</m:t>
        </m:r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2.1.1.2）</w:t>
      </w:r>
    </w:p>
    <w:p w14:paraId="21DB25FE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在振幅慢变化近似下，可略去关于</w:t>
      </w:r>
      <w:r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z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的二阶导数</w:t>
      </w:r>
      <m:oMath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∂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，得</w:t>
      </w:r>
    </w:p>
    <w:p w14:paraId="4CC2A2DE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∂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x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∂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y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−2jk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∂U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∂z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=0</m:t>
        </m:r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2.1.1.3）</w:t>
      </w:r>
    </w:p>
    <w:p w14:paraId="2C4FDD49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只考虑旋转对称系统，令矢径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r=</m:t>
        </m:r>
        <m:rad>
          <m:radPr>
            <m:degHide m:val="1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radPr>
          <m:deg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g>
          <m:e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x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y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ra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。设近轴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亥姆霍兹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的慢变化、细光束解具有如下形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</w:p>
    <w:p w14:paraId="2ABD5DE4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U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x,y,z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p>
          <m:sSup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=exp</m:t>
            </m:r>
            <m:d>
              <m:dPr>
                <m:begChr m:val="{"/>
                <m:endChr m:val="}"/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−j</m:t>
                </m:r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P</m:t>
                    </m:r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2q</m:t>
                        </m:r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z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r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 xml:space="preserve"> 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2.1.1.4）</w:t>
      </w:r>
    </w:p>
    <w:p w14:paraId="6D903563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称为相移参数，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q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称为光束参数，代入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2.1.1.3，得到</w:t>
      </w:r>
    </w:p>
    <w:p w14:paraId="4A32CDB9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∂ξ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=−j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k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2q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exp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−j</m:t>
            </m:r>
            <m:d>
              <m:dPr>
                <m:begChr m:val="["/>
                <m:endChr m:val="]"/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P</m:t>
                </m:r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z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+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k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2q</m:t>
                    </m:r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r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∙2ξ</m:t>
        </m:r>
      </m:oMath>
      <w:r>
        <w:rPr>
          <w:rFonts w:hint="eastAsia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2.1.1.5）</w:t>
      </w:r>
    </w:p>
    <w:p w14:paraId="46D2A0CF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ξ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表示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x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y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</w:p>
    <w:p w14:paraId="5CAA68E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 w14:paraId="5044B681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</w:p>
    <w:p w14:paraId="4B3148B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∂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U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x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sz w:val="28"/>
              <w:szCs w:val="28"/>
              <w:lang w:val="en-US" w:eastAsia="zh-CN"/>
              <w14:textFill>
                <w14:solidFill>
                  <w14:schemeClr w14:val="tx1"/>
                </w14:solidFill>
              </w14:textFill>
            </w:rPr>
            <m:t>+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∂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U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sz w:val="28"/>
                      <w:szCs w:val="28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sz w:val="28"/>
              <w:szCs w:val="28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−j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k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2q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P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2q</m:t>
                      </m:r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1707B92B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−j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4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q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P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2q</m:t>
                      </m:r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∙4</m:t>
          </m:r>
          <m:sSup>
            <m:sSup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</m:oMath>
      </m:oMathPara>
    </w:p>
    <w:p w14:paraId="3CBC5C94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2.1.1.6）</w:t>
      </w:r>
    </w:p>
    <w:p w14:paraId="1278272C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U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sz w:val="28"/>
                  <w:szCs w:val="28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sz w:val="28"/>
                  <w:szCs w:val="28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sz w:val="28"/>
              <w:szCs w:val="28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P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2q</m:t>
                      </m:r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∙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P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q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46E734CB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2.1.1.7）</w:t>
      </w:r>
    </w:p>
    <w:p w14:paraId="7267CAA3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2.1.1.6、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2.1.1.7代入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2.1.1.3，得到</w:t>
      </w:r>
    </w:p>
    <w:p w14:paraId="4B1CAF1B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−2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k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d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P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d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+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j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q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k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k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d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q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d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∙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=0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2.1.1.8）</w:t>
      </w:r>
    </w:p>
    <w:p w14:paraId="5204AF98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上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对所有的</w:t>
      </w:r>
      <w:r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r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成立，这要求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2.1.1.8左边关于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级数的各次幂的系数均为0，即</w:t>
      </w:r>
    </w:p>
    <w:p w14:paraId="67402611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d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d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2.1.1.9）</w:t>
      </w:r>
    </w:p>
    <w:p w14:paraId="7107754F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以及</w:t>
      </w:r>
    </w:p>
    <w:p w14:paraId="5A1AF5B9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d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P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d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=−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j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2.1.1.10）</w:t>
      </w:r>
    </w:p>
    <w:p w14:paraId="5D9A5DEE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2.1.1.9的解为</w:t>
      </w:r>
    </w:p>
    <w:p w14:paraId="2E1CCED0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q=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+z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2.1.1.11）</w:t>
      </w:r>
    </w:p>
    <w:p w14:paraId="5CF696FA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为待定常数。将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2.1.1.11代入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2.1.1.10，得到</w:t>
      </w:r>
    </w:p>
    <w:p w14:paraId="7060E7D2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=−j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func>
              <m:funcPr>
                <m:ctrlPr>
                  <w:rPr>
                    <w:rFonts w:hint="default" w:ascii="Cambria Math" w:hAnsi="Cambria Math" w:eastAsia="宋体" w:cs="Times New Roman"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ln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Name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z+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q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0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func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+j</m:t>
            </m:r>
            <m:func>
              <m:funcPr>
                <m:ctrlPr>
                  <w:rPr>
                    <w:rFonts w:hint="default" w:ascii="Cambria Math" w:hAnsi="Cambria Math" w:eastAsia="宋体" w:cs="Times New Roman"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ln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func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2.1.1.12）</w:t>
      </w:r>
    </w:p>
    <w:p w14:paraId="19F2642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把积分常数表示为</w:t>
      </w:r>
      <m:oMath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+j</m:t>
            </m:r>
            <m:func>
              <m:funcPr>
                <m:ctrlPr>
                  <w:rPr>
                    <w:rFonts w:hint="default" w:ascii="Cambria Math" w:hAnsi="Cambria Math" w:eastAsia="宋体" w:cs="Times New Roman"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ln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func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，是为了方便处理。进一步将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2.1.1.9的解写成如下形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</w:p>
    <w:p w14:paraId="5CA498FC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−j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λ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π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2.1.1.13）</w:t>
      </w:r>
    </w:p>
    <w:p w14:paraId="41D042B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和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w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是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z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的实函数，这样就可以把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u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表示为</w:t>
      </w:r>
    </w:p>
    <w:p w14:paraId="255B53BE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u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kz+P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−j</m:t>
                      </m:r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λ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π</m:t>
                              </m:r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w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6A7D2F27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sSup>
            <m:sSup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−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j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θ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kz−j</m:t>
                  </m:r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ln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0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−j</m:t>
                      </m:r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λ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π</m:t>
                              </m:r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w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4E997241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2.1.1.14）</w:t>
      </w:r>
    </w:p>
    <w:p w14:paraId="2CB2736E"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−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j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表示常数相位，可取为1</w:t>
      </w:r>
      <m:oMath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=0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2.1.1.14成为</w:t>
      </w:r>
    </w:p>
    <w:p w14:paraId="1B0F74ED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u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kz−j</m:t>
                  </m:r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ln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0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−j</m:t>
                      </m:r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λ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π</m:t>
                              </m:r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w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5398F94B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2.1.1.15）</w:t>
      </w:r>
    </w:p>
    <w:p w14:paraId="04881DEE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指数函数中括号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 xml:space="preserve"> 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内的实数部分对应的是相位：</w:t>
      </w:r>
    </w:p>
    <w:p w14:paraId="59188A49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Φ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=kz+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k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2R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+Re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−j</m:t>
            </m:r>
            <m:func>
              <m:func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uncPr>
              <m:fNam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ln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Name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1+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0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func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2.1.1.16）</w:t>
      </w:r>
    </w:p>
    <w:p w14:paraId="4DCE337E"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符号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Re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表示取实部。当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∞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时，在与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z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轴正交的平面上相位函数为常数，光束的波面为平面。我们选择该平面的坐标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z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=0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，称为“光腰”，此处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q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参数为</w:t>
      </w:r>
    </w:p>
    <w:p w14:paraId="2DA20E88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q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=−j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λ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π</m:t>
            </m:r>
            <m:sSubSup>
              <m:sSub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b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2.1.1.17）</w:t>
      </w:r>
    </w:p>
    <w:p w14:paraId="03F266A9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=w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为光腰尺寸。代入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2.1.1.11得到</w:t>
      </w:r>
    </w:p>
    <w:p w14:paraId="1869FAEB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q=j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π</m:t>
            </m:r>
            <m:sSubSup>
              <m:sSub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b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λ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+z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2.1.1.18）</w:t>
      </w:r>
    </w:p>
    <w:p w14:paraId="56A56319">
      <w:pPr>
        <w:bidi w:val="0"/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2.1.1.18代入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2.1.1.13，令等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两边的实部和虚部分别相等，得到</w:t>
      </w:r>
    </w:p>
    <w:p w14:paraId="5FCB9A7E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=z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π</m:t>
                        </m:r>
                        <m:sSubSup>
                          <m:sSubSup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w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0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p>
                        </m:sSubSup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λ</m:t>
                        </m:r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2.1.1.19）</w:t>
      </w:r>
    </w:p>
    <w:p w14:paraId="084558C5"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和</w:t>
      </w:r>
    </w:p>
    <w:p w14:paraId="414C667F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Sup>
          <m:sSub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λ</m:t>
                        </m:r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z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π</m:t>
                        </m:r>
                        <m:sSubSup>
                          <m:sSubSup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w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0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p>
                        </m:sSubSup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2.1.1.20）</w:t>
      </w:r>
    </w:p>
    <w:p w14:paraId="019C4B86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2.1.1.19为波面半径，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2.1.1.20为光束尺寸。</w:t>
      </w:r>
    </w:p>
    <w:p w14:paraId="1C2FCFEB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此外，将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2.1.1.17代入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2.1.1.12得到</w:t>
      </w:r>
    </w:p>
    <w:p w14:paraId="20A393D3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=−j</m:t>
          </m:r>
          <m:func>
            <m:funcPr>
              <m:ctrlPr>
                <w:rPr>
                  <w:rFonts w:hint="default" w:ascii="Cambria Math" w:hAnsi="Cambria Math" w:eastAsia="宋体" w:cs="Times New Roman"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ln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1+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func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=−j</m:t>
          </m:r>
          <m:func>
            <m:funcPr>
              <m:ctrlPr>
                <w:rPr>
                  <w:rFonts w:hint="default" w:ascii="Cambria Math" w:hAnsi="Cambria Math" w:eastAsia="宋体" w:cs="Times New Roman"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ln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1−j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λ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w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bSup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func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=−j</m:t>
          </m:r>
          <m:func>
            <m:funcPr>
              <m:ctrlPr>
                <w:rPr>
                  <w:rFonts w:hint="default" w:ascii="Cambria Math" w:hAnsi="Cambria Math" w:eastAsia="宋体" w:cs="Times New Roman"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ln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w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ϕ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func>
        </m:oMath>
      </m:oMathPara>
    </w:p>
    <w:p w14:paraId="6DEB450F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2.1.1.21）</w:t>
      </w:r>
    </w:p>
    <w:p w14:paraId="7E199ACA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的实部为</w:t>
      </w:r>
    </w:p>
    <w:p w14:paraId="324436CF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ϕ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=arctan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λ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π</m:t>
                </m:r>
                <m:sSubSup>
                  <m:sSubSup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w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bSup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2.1.1.22）</w:t>
      </w:r>
    </w:p>
    <w:p w14:paraId="0BDCF2FA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将其代入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2.1.1.13，得到</w:t>
      </w:r>
    </w:p>
    <w:p w14:paraId="39808F34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Φ</m:t>
        </m:r>
        <m:d>
          <m:dPr>
            <m:ctrlPr>
              <w:rPr>
                <w:rFonts w:hint="default" w:ascii="Cambria Math" w:hAnsi="Cambria Math" w:eastAsia="宋体" w:cs="Times New Roman"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kz+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k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2R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ϕ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2.1.1.23）</w:t>
      </w:r>
    </w:p>
    <w:p w14:paraId="50BA133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的虚部对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2.1.1.13的贡献为</w:t>
      </w:r>
    </w:p>
    <w:p w14:paraId="7F4E1C7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exp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</m:t>
            </m:r>
            <m:func>
              <m:funcPr>
                <m:ctrlPr>
                  <w:rPr>
                    <w:rFonts w:hint="default" w:ascii="Cambria Math" w:hAnsi="Cambria Math" w:eastAsia="宋体" w:cs="Times New Roman"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ln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Name>
              <m:e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z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w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0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func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2.1.1.24）</w:t>
      </w:r>
    </w:p>
    <w:p w14:paraId="04A5E63F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最终得到</w:t>
      </w:r>
    </w:p>
    <w:p w14:paraId="79580386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u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−jkz−jk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2R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+j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ϕ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76D7AA97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2.1.1.25）</w:t>
      </w:r>
    </w:p>
    <w:p w14:paraId="0B84B762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2.1.1.25即为高斯光束基模的表达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</w:p>
    <w:p w14:paraId="7022DE96">
      <w:pPr>
        <w:pStyle w:val="4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8" w:name="_Toc31686"/>
      <w:bookmarkStart w:id="9" w:name="_Toc20782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2.1.2 高斯光束的查看</w:t>
      </w:r>
      <w:bookmarkEnd w:id="8"/>
      <w:bookmarkEnd w:id="9"/>
    </w:p>
    <w:p w14:paraId="7E592A05">
      <w:pPr>
        <w:pStyle w:val="5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0" w:name="_Toc25470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2.1.2.1 高阶与低阶高斯光束轮廓</w:t>
      </w:r>
      <w:bookmarkEnd w:id="10"/>
    </w:p>
    <w:p w14:paraId="5F27C678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高斯光束的三个重要参量，束宽、等相位面曲率半径、相位因子可分别由以下三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描述：</w:t>
      </w:r>
    </w:p>
    <w:p w14:paraId="4D3ACD2F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Sup>
          <m:sSub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</m:t>
        </m:r>
        <m:sSubSup>
          <m:sSub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∙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z−</m:t>
                </m:r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2.1.2.1）</w:t>
      </w:r>
    </w:p>
    <w:p w14:paraId="6442196D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=z+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Sup>
              <m:sSub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b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2.1.2.2）</w:t>
      </w:r>
    </w:p>
    <w:p w14:paraId="57F9F759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Ψ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unc>
          <m:func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uncPr>
          <m:fName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tan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−1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Name>
          <m:e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Z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func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2.1.2.3）</w:t>
      </w:r>
    </w:p>
    <w:p w14:paraId="189A783E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为瑞利长度，其为</w:t>
      </w:r>
    </w:p>
    <w:p w14:paraId="0CECDD9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θ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2.1.2.4）</w:t>
      </w:r>
    </w:p>
    <w:p w14:paraId="03A4D537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定义光束传播比（或称光束质量因子）为</w:t>
      </w:r>
    </w:p>
    <w:p w14:paraId="51F4E5DE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M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π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λ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2.1.2.5）</w:t>
      </w:r>
    </w:p>
    <w:p w14:paraId="054D14FF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n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为光束所在空间的折射率。</w:t>
      </w:r>
    </w:p>
    <w:p w14:paraId="011896DF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使用嵌入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高斯光束描述高阶高斯光束，调用函数</w:t>
      </w:r>
      <w:r>
        <w:rPr>
          <w:rFonts w:hint="eastAsia" w:hAnsi="Times New Roman" w:cs="Times New Roman"/>
          <w:b/>
          <w:bCs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zplot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查看。</w:t>
      </w:r>
    </w:p>
    <w:p w14:paraId="4BAF5120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79725" cy="2358390"/>
            <wp:effectExtent l="0" t="0" r="15875" b="381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BE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zplot(</w:t>
      </w: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02m,theta02m,L02m,lambda,A,B)</w:t>
      </w:r>
    </w:p>
    <w:p w14:paraId="6CE1ECDC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2.1.2.1 高阶高斯光束束宽随距离分布</w:t>
      </w:r>
    </w:p>
    <w:p w14:paraId="0EF0C58B">
      <w:pPr>
        <w:pStyle w:val="5"/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1" w:name="_Toc22582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2.1.2.2 基模高斯光束的查看</w:t>
      </w:r>
      <w:bookmarkEnd w:id="11"/>
    </w:p>
    <w:p w14:paraId="2EF0E25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基模高斯光束的电场强度可以表示为，</w:t>
      </w:r>
    </w:p>
    <w:p w14:paraId="26517F3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529590</wp:posOffset>
                </wp:positionV>
                <wp:extent cx="3275965" cy="481965"/>
                <wp:effectExtent l="6350" t="0" r="13335" b="13335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965" cy="481965"/>
                          <a:chOff x="17840" y="61978"/>
                          <a:chExt cx="5159" cy="759"/>
                        </a:xfrm>
                      </wpg:grpSpPr>
                      <wps:wsp>
                        <wps:cNvPr id="1" name="左大括号 1"/>
                        <wps:cNvSpPr/>
                        <wps:spPr>
                          <a:xfrm rot="16200000">
                            <a:off x="18739" y="61079"/>
                            <a:ext cx="197" cy="1995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左大括号 2"/>
                        <wps:cNvSpPr/>
                        <wps:spPr>
                          <a:xfrm rot="16200000">
                            <a:off x="21514" y="60735"/>
                            <a:ext cx="197" cy="2774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18195" y="62273"/>
                            <a:ext cx="1304" cy="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3EDE9">
                              <w:pPr>
                                <w:jc w:val="center"/>
                                <w:rPr>
                                  <w:rFonts w:hint="default" w:eastAsia="宋体"/>
                                  <w:sz w:val="21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val="en-US" w:eastAsia="zh-CN"/>
                                </w:rPr>
                                <w:t>振幅部分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20850" y="62303"/>
                            <a:ext cx="1304" cy="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88E36">
                              <w:pPr>
                                <w:jc w:val="center"/>
                                <w:rPr>
                                  <w:rFonts w:hint="default" w:eastAsia="宋体"/>
                                  <w:sz w:val="21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val="en-US" w:eastAsia="zh-CN"/>
                                </w:rPr>
                                <w:t>位相部分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3pt;margin-top:41.7pt;height:37.95pt;width:257.95pt;z-index:251661312;mso-width-relative:page;mso-height-relative:page;" coordorigin="17840,61978" coordsize="5159,759" o:gfxdata="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">
                <o:lock v:ext="edit" aspectratio="f"/>
                <v:shape id="_x0000_s1026" o:spid="_x0000_s1026" o:spt="87" type="#_x0000_t87" style="position:absolute;left:18739;top:61079;height:1995;width:197;rotation:-5898240f;" filled="f" stroked="t" coordsize="21600,21600" o:gfxdata="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y2VgugAAANoA&#10;AAAPAAAAAAAAAAEAIAAAACIAAABkcnMvZG93bnJldi54bWxQSwECFAAUAAAACACHTuJAMy8FnjsA&#10;AAA5AAAAEAAAAAAAAAABACAAAAAJAQAAZHJzL3NoYXBleG1sLnhtbFBLBQYAAAAABgAGAFsBAACz&#10;AwAAAAA=&#10;" adj="177,10800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87" type="#_x0000_t87" style="position:absolute;left:21514;top:60735;height:2774;width:197;rotation:-5898240f;" filled="f" stroked="t" coordsize="21600,21600" o:gfxdata="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Iv1O/&#10;AAAA2gAAAA8AAAAAAAAAAQAgAAAAIgAAAGRycy9kb3ducmV2LnhtbFBLAQIUABQAAAAIAIdO4kAz&#10;LwWeOwAAADkAAAAQAAAAAAAAAAEAIAAAAA4BAABkcnMvc2hhcGV4bWwueG1sUEsFBgAAAAAGAAYA&#10;WwEAALgDAAAAAA==&#10;" adj="127,10800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8195;top:62273;height:435;width:1304;" fillcolor="#FFFFFF [3201]" filled="t" stroked="t" coordsize="21600,21600" o:gfxdata="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m8k4S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13]" joinstyle="round"/>
                  <v:imagedata o:title=""/>
                  <o:lock v:ext="edit" aspectratio="f"/>
                  <v:textbox>
                    <w:txbxContent>
                      <w:p w14:paraId="2F83EDE9">
                        <w:pPr>
                          <w:jc w:val="center"/>
                          <w:rPr>
                            <w:rFonts w:hint="default" w:eastAsia="宋体"/>
                            <w:sz w:val="21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val="en-US" w:eastAsia="zh-CN"/>
                          </w:rPr>
                          <w:t>振幅部分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850;top:62303;height:435;width:1304;" fillcolor="#FFFFFF [3201]" filled="t" stroked="t" coordsize="21600,21600" o:gfxdata="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ZVC/C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13]" joinstyle="round"/>
                  <v:imagedata o:title=""/>
                  <o:lock v:ext="edit" aspectratio="f"/>
                  <v:textbox>
                    <w:txbxContent>
                      <w:p w14:paraId="0E388E36">
                        <w:pPr>
                          <w:jc w:val="center"/>
                          <w:rPr>
                            <w:rFonts w:hint="default" w:eastAsia="宋体"/>
                            <w:sz w:val="21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val="en-US" w:eastAsia="zh-CN"/>
                          </w:rPr>
                          <w:t>位相部分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E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A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exp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r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w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p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z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∙exp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−i</m:t>
            </m:r>
            <m:d>
              <m:dPr>
                <m:begChr m:val="{"/>
                <m:endChr m:val="}"/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k</m:t>
                </m:r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r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p>
                        </m:sSup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2R</m:t>
                        </m:r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z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+z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−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Ψ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</w:p>
    <w:p w14:paraId="465EB8CA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67A61CF3">
      <w:pPr>
        <w:widowControl w:val="0"/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2.1.2.6）</w:t>
      </w:r>
    </w:p>
    <w:p w14:paraId="0FFC4D1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方便起见，取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A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。又</w:t>
      </w:r>
    </w:p>
    <w:p w14:paraId="6D6DA0A8">
      <w:pPr>
        <w:widowControl w:val="0"/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I=E∙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∗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eastAsia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2.1.2.7）</w:t>
      </w:r>
    </w:p>
    <w:p w14:paraId="6A3D660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而拉盖尔高斯光束的电场强度为</w:t>
      </w:r>
    </w:p>
    <w:p w14:paraId="596AA05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pl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r,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φ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,z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pl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sSup>
            <m:sSup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radPr>
                    <m:deg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g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rad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l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  <m:t>∙</m:t>
          </m:r>
          <m:sSubSup>
            <m:sSubSup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L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p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l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bSup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  <m:t>∙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∙exp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−i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z+</m:t>
                      </m:r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r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2R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−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2p+l+1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tan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qArrPr>
                <m:e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cos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l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φ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sin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l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φ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501EA922">
      <w:pPr>
        <w:widowControl w:val="0"/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2.1.2.8）</w:t>
      </w:r>
    </w:p>
    <w:p w14:paraId="4095AA8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在柱坐标系中，电场强度与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φ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无关，同样取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A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pl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。当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p=0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且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l=0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时，</w:t>
      </w: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2.1.2.8退化为基模高斯光束的电场强度（</w:t>
      </w: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2.1.2.6）。</w:t>
      </w:r>
    </w:p>
    <w:p w14:paraId="19A7216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由此可以查看基模高斯光束的光强及位相随距离的分布。</w:t>
      </w:r>
    </w:p>
    <w:p w14:paraId="3351A472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92090" cy="895350"/>
            <wp:effectExtent l="0" t="0" r="381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58B2">
      <w:pPr>
        <w:widowControl w:val="0"/>
        <w:numPr>
          <w:ilvl w:val="0"/>
          <w:numId w:val="0"/>
        </w:numPr>
        <w:ind w:left="0" w:leftChars="0" w:firstLine="0" w:firstLineChars="0"/>
        <w:jc w:val="center"/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(a) </w:t>
      </w:r>
      <w:r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不同位置的光强</w:t>
      </w:r>
    </w:p>
    <w:p w14:paraId="31F70AE0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92090" cy="598170"/>
            <wp:effectExtent l="0" t="0" r="381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F847">
      <w:pPr>
        <w:widowControl w:val="0"/>
        <w:numPr>
          <w:ilvl w:val="0"/>
          <w:numId w:val="0"/>
        </w:numPr>
        <w:ind w:left="0" w:leftChars="0" w:firstLine="0" w:firstLineChars="0"/>
        <w:jc w:val="center"/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(b) </w:t>
      </w:r>
      <w:r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不同位置的光强分布</w:t>
      </w:r>
    </w:p>
    <w:p w14:paraId="49D6259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92090" cy="821055"/>
            <wp:effectExtent l="0" t="0" r="381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272B">
      <w:pPr>
        <w:widowControl w:val="0"/>
        <w:numPr>
          <w:ilvl w:val="0"/>
          <w:numId w:val="0"/>
        </w:numPr>
        <w:ind w:left="0" w:leftChars="0" w:firstLine="0" w:firstLineChars="0"/>
        <w:jc w:val="center"/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(c) </w:t>
      </w:r>
      <w:r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不同位置与中心的相位差</w:t>
      </w:r>
    </w:p>
    <w:p w14:paraId="0FC12AE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92090" cy="687705"/>
            <wp:effectExtent l="0" t="0" r="3810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49A">
      <w:pPr>
        <w:widowControl w:val="0"/>
        <w:numPr>
          <w:ilvl w:val="0"/>
          <w:numId w:val="0"/>
        </w:numPr>
        <w:ind w:left="0" w:leftChars="0" w:firstLine="0" w:firstLineChars="0"/>
        <w:jc w:val="center"/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(d) </w:t>
      </w:r>
      <w:r>
        <w:rPr>
          <w:rFonts w:hint="default" w:ascii="Times New Roman" w:hAnsi="Times New Roman" w:eastAsia="宋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不同位置与中心的相位差分布</w:t>
      </w:r>
    </w:p>
    <w:p w14:paraId="57F712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[XX,YY,Eplrphiz,Phizz]=LGbeam(</w:t>
      </w: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02m,theta02m,L02m,lambda,getz,p,l,num)</w:t>
      </w:r>
    </w:p>
    <w:p w14:paraId="1975A2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[Eplrphiz,Phizz]=LGbeamr(</w:t>
      </w: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02m,theta02m,L02m, lambda,getz,p,l, r,phir)</w:t>
      </w:r>
    </w:p>
    <w:p w14:paraId="7F1BE353"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2.1.1.2   基模高斯光束的光强及位相随距离的分布</w:t>
      </w:r>
    </w:p>
    <w:p w14:paraId="0D752935">
      <w:pPr>
        <w:pStyle w:val="5"/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2" w:name="_Toc15941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2.1.2.3 拉盖尔高斯光束与厄米高斯光束的查看</w:t>
      </w:r>
      <w:bookmarkEnd w:id="12"/>
    </w:p>
    <w:p w14:paraId="135FD314"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a. </w:t>
      </w:r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拉盖尔高斯光束</w:t>
      </w:r>
    </w:p>
    <w:p w14:paraId="296D0CA9">
      <w:pPr>
        <w:widowControl w:val="0"/>
        <w:numPr>
          <w:ilvl w:val="0"/>
          <w:numId w:val="0"/>
        </w:numPr>
        <w:ind w:leftChars="0" w:firstLine="560" w:firstLineChars="200"/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p≠0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且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l≠0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时，光束为高阶的拉盖尔高斯光束。其电场强度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pl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r,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φ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如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2.1.2.8所示。同理使用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LGbeam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或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LGbeamr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函数可以得到拉盖尔高斯光束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的光强分布。</w:t>
      </w:r>
    </w:p>
    <w:p w14:paraId="416CF6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0630" cy="2743200"/>
            <wp:effectExtent l="0" t="0" r="762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l="1198" t="2604" r="1129" b="129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FC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[XX,YY,Eplrphiz,Phizz]=LGbeam(</w:t>
      </w: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02m,theta02m,L02m,lambda,getz,p,l,num)</w:t>
      </w:r>
    </w:p>
    <w:p w14:paraId="667393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2.1.1.</w:t>
      </w: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高阶的拉盖尔高斯光束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的光腰处的光强分布</w:t>
      </w:r>
    </w:p>
    <w:p w14:paraId="07DCEB8D"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b. </w:t>
      </w:r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厄米高斯光束</w:t>
      </w:r>
    </w:p>
    <w:p w14:paraId="7E7A7DE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厄米高斯光束的电场强度为</w:t>
      </w:r>
    </w:p>
    <w:p w14:paraId="6FC104F8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mn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x,y,z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=A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x,y,z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−ikz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mn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H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ad>
                <m:radPr>
                  <m:degHide m:val="1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radPr>
                <m:deg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rad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x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H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n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ad>
                <m:radPr>
                  <m:degHide m:val="1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radPr>
                <m:deg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rad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  <m:t>∙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y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∙exp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−i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k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z+</m:t>
                      </m:r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2R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−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m+n+1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tan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−ikz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038195EF">
      <w:pPr>
        <w:widowControl w:val="0"/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2.1.2.9）</w:t>
      </w:r>
    </w:p>
    <w:p w14:paraId="2E7119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center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使用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HGbeam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函数可以得到厄米高斯光束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的光强分布。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0040" cy="3025140"/>
            <wp:effectExtent l="0" t="0" r="10160" b="381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12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[XX,YY,Eplrphiz,Phizz]=HGbeam(</w:t>
      </w:r>
      <w:r>
        <w:rPr>
          <w:rFonts w:hint="eastAsia" w:hAnsi="Times New Roman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02m,theta02m,L02m,lambda,getz,m,n,num)</w:t>
      </w:r>
    </w:p>
    <w:p w14:paraId="498A99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2.1.1.2   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高阶的厄米高斯光束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的光腰处的光强分布</w:t>
      </w:r>
    </w:p>
    <w:p w14:paraId="02D43A67">
      <w:pPr>
        <w:pStyle w:val="4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3" w:name="_Toc10723"/>
      <w:bookmarkStart w:id="14" w:name="_Toc25167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 基础传输矩阵</w:t>
      </w:r>
      <w:bookmarkEnd w:id="13"/>
      <w:bookmarkEnd w:id="14"/>
    </w:p>
    <w:p w14:paraId="25DE42E2">
      <w:pPr>
        <w:pStyle w:val="5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5" w:name="_Toc3679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2.1.3.1 常用光学矩阵</w:t>
      </w:r>
      <w:bookmarkEnd w:id="15"/>
    </w:p>
    <w:tbl>
      <w:tblPr>
        <w:tblStyle w:val="14"/>
        <w:tblW w:w="829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"/>
        <w:gridCol w:w="2527"/>
        <w:gridCol w:w="2350"/>
        <w:gridCol w:w="2890"/>
      </w:tblGrid>
      <w:tr w14:paraId="65F5F7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532" w:type="dxa"/>
            <w:vAlign w:val="center"/>
          </w:tcPr>
          <w:p w14:paraId="0FFFACE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01</w:t>
            </w:r>
          </w:p>
        </w:tc>
        <w:tc>
          <w:tcPr>
            <w:tcW w:w="2527" w:type="dxa"/>
            <w:vAlign w:val="center"/>
          </w:tcPr>
          <w:p w14:paraId="32658D7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距离为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/>
                <w:iCs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的自由空间</w:t>
            </w:r>
            <m:oMath>
              <m:r>
                <m:rPr/>
                <w:rPr>
                  <w:rFonts w:hint="default" w:ascii="Cambria Math" w:hAnsi="Cambria Math" w:eastAsia="楷体" w:cs="Times New Roman"/>
                  <w:color w:val="000000" w:themeColor="text1"/>
                  <w:kern w:val="0"/>
                  <w:sz w:val="21"/>
                  <w:szCs w:val="21"/>
                  <w:lang w:val="en-US" w:eastAsia="zh-CN" w:bidi="ar"/>
                  <w14:textFill>
                    <w14:solidFill>
                      <w14:schemeClr w14:val="tx1"/>
                    </w14:solidFill>
                  </w14:textFill>
                </w:rPr>
                <m:t>n</m:t>
              </m:r>
              <m:r>
                <m:rPr>
                  <m:sty m:val="p"/>
                </m:rPr>
                <w:rPr>
                  <w:rFonts w:hint="default" w:ascii="Cambria Math" w:hAnsi="Cambria Math" w:eastAsia="楷体" w:cs="Times New Roman"/>
                  <w:color w:val="000000" w:themeColor="text1"/>
                  <w:kern w:val="0"/>
                  <w:sz w:val="21"/>
                  <w:szCs w:val="21"/>
                  <w:lang w:val="en-US" w:eastAsia="zh-CN" w:bidi="ar"/>
                  <w14:textFill>
                    <w14:solidFill>
                      <w14:schemeClr w14:val="tx1"/>
                    </w14:solidFill>
                  </w14:textFill>
                </w:rPr>
                <m:t>=1</m:t>
              </m:r>
            </m:oMath>
          </w:p>
        </w:tc>
        <w:tc>
          <w:tcPr>
            <w:tcW w:w="2350" w:type="dxa"/>
            <w:vAlign w:val="center"/>
          </w:tcPr>
          <w:p w14:paraId="1F2A654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593090"/>
                  <wp:effectExtent l="0" t="0" r="7620" b="1651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3899D49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74B66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1" w:hRule="atLeast"/>
          <w:jc w:val="center"/>
        </w:trPr>
        <w:tc>
          <w:tcPr>
            <w:tcW w:w="532" w:type="dxa"/>
            <w:vAlign w:val="center"/>
          </w:tcPr>
          <w:p w14:paraId="0568FF3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02</w:t>
            </w:r>
          </w:p>
        </w:tc>
        <w:tc>
          <w:tcPr>
            <w:tcW w:w="2527" w:type="dxa"/>
            <w:vAlign w:val="center"/>
          </w:tcPr>
          <w:p w14:paraId="292D072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界面折射</w:t>
            </w:r>
          </w:p>
          <w:p w14:paraId="0B4B976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（折射率分别为</w:t>
            </w:r>
            <m:oMath>
              <m:sSub>
                <m:sSubP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楷体" w:cs="Times New Roman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m:t>n</m:t>
                  </m: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楷体" w:cs="Times New Roman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、</w:t>
            </w:r>
            <m:oMath>
              <m:sSub>
                <m:sSubP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楷体" w:cs="Times New Roman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m:t>n</m:t>
                  </m: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楷体" w:cs="Times New Roman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楷体" w:cs="Times New Roman"/>
                      <w:b w:val="0"/>
                      <w:bCs w:val="0"/>
                      <w:i/>
                      <w:iCs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</m:oMath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2350" w:type="dxa"/>
            <w:vAlign w:val="center"/>
          </w:tcPr>
          <w:p w14:paraId="578DC06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906145"/>
                  <wp:effectExtent l="0" t="0" r="7620" b="8255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4DC9368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55C41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532" w:type="dxa"/>
            <w:vAlign w:val="center"/>
          </w:tcPr>
          <w:p w14:paraId="515794C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03</w:t>
            </w:r>
          </w:p>
        </w:tc>
        <w:tc>
          <w:tcPr>
            <w:tcW w:w="2527" w:type="dxa"/>
            <w:vAlign w:val="center"/>
          </w:tcPr>
          <w:p w14:paraId="300117D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折射率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/>
                <w:iCs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、长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/>
                <w:iCs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的均匀介质</w:t>
            </w:r>
          </w:p>
        </w:tc>
        <w:tc>
          <w:tcPr>
            <w:tcW w:w="2350" w:type="dxa"/>
            <w:vAlign w:val="center"/>
          </w:tcPr>
          <w:p w14:paraId="21AD807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608330"/>
                  <wp:effectExtent l="0" t="0" r="7620" b="127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60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44EF7A7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l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65648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1" w:hRule="atLeast"/>
          <w:jc w:val="center"/>
        </w:trPr>
        <w:tc>
          <w:tcPr>
            <w:tcW w:w="532" w:type="dxa"/>
            <w:vAlign w:val="center"/>
          </w:tcPr>
          <w:p w14:paraId="2E93411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04</w:t>
            </w:r>
          </w:p>
        </w:tc>
        <w:tc>
          <w:tcPr>
            <w:tcW w:w="2527" w:type="dxa"/>
            <w:vAlign w:val="center"/>
          </w:tcPr>
          <w:p w14:paraId="27042F9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薄透镜（焦距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/>
                <w:iCs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2350" w:type="dxa"/>
            <w:vAlign w:val="center"/>
          </w:tcPr>
          <w:p w14:paraId="7C5E0FA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797560"/>
                  <wp:effectExtent l="0" t="0" r="7620" b="2540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1C578B5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65B4E3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532" w:type="dxa"/>
            <w:vAlign w:val="center"/>
          </w:tcPr>
          <w:p w14:paraId="0A3758C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05</w:t>
            </w:r>
          </w:p>
        </w:tc>
        <w:tc>
          <w:tcPr>
            <w:tcW w:w="2527" w:type="dxa"/>
            <w:vAlign w:val="center"/>
          </w:tcPr>
          <w:p w14:paraId="0142C8C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球面反射镜（曲率半径</w:t>
            </w:r>
            <m:oMath>
              <m:r>
                <m:rPr/>
                <w:rPr>
                  <w:rFonts w:hint="default" w:ascii="Cambria Math" w:hAnsi="Cambria Math" w:eastAsia="楷体" w:cs="Times New Roman"/>
                  <w:color w:val="000000" w:themeColor="text1"/>
                  <w:kern w:val="0"/>
                  <w:sz w:val="21"/>
                  <w:szCs w:val="21"/>
                  <w:lang w:val="en-US" w:eastAsia="zh-CN" w:bidi="ar"/>
                  <w14:textFill>
                    <w14:solidFill>
                      <w14:schemeClr w14:val="tx1"/>
                    </w14:solidFill>
                  </w14:textFill>
                </w:rPr>
                <m:t>ρ</m:t>
              </m:r>
            </m:oMath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2350" w:type="dxa"/>
            <w:vAlign w:val="center"/>
          </w:tcPr>
          <w:p w14:paraId="4825586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706755"/>
                  <wp:effectExtent l="0" t="0" r="7620" b="17145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770E9EE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ρ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51B51D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532" w:type="dxa"/>
            <w:vAlign w:val="center"/>
          </w:tcPr>
          <w:p w14:paraId="31FAF4E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06</w:t>
            </w:r>
          </w:p>
        </w:tc>
        <w:tc>
          <w:tcPr>
            <w:tcW w:w="2527" w:type="dxa"/>
            <w:vAlign w:val="center"/>
          </w:tcPr>
          <w:p w14:paraId="04567AF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球面折射</w:t>
            </w:r>
          </w:p>
        </w:tc>
        <w:tc>
          <w:tcPr>
            <w:tcW w:w="2350" w:type="dxa"/>
            <w:vAlign w:val="center"/>
          </w:tcPr>
          <w:p w14:paraId="4060DAA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716915"/>
                  <wp:effectExtent l="0" t="0" r="7620" b="6985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71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086F731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−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ρ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79B1E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2" w:hRule="atLeast"/>
          <w:jc w:val="center"/>
        </w:trPr>
        <w:tc>
          <w:tcPr>
            <w:tcW w:w="532" w:type="dxa"/>
            <w:vAlign w:val="center"/>
          </w:tcPr>
          <w:p w14:paraId="109DDF6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07</w:t>
            </w:r>
          </w:p>
        </w:tc>
        <w:tc>
          <w:tcPr>
            <w:tcW w:w="2527" w:type="dxa"/>
            <w:vAlign w:val="center"/>
          </w:tcPr>
          <w:p w14:paraId="637EC7C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厚透镜</w:t>
            </w:r>
          </w:p>
        </w:tc>
        <w:tc>
          <w:tcPr>
            <w:tcW w:w="2350" w:type="dxa"/>
            <w:vAlign w:val="center"/>
          </w:tcPr>
          <w:p w14:paraId="41BAF13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1000125"/>
                  <wp:effectExtent l="0" t="0" r="7620" b="9525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2893187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ℎ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ℎ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ℎ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ℎ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ℎ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ℎ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5C9239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532" w:type="dxa"/>
            <w:vAlign w:val="center"/>
          </w:tcPr>
          <w:p w14:paraId="3C72849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08</w:t>
            </w:r>
          </w:p>
        </w:tc>
        <w:tc>
          <w:tcPr>
            <w:tcW w:w="2527" w:type="dxa"/>
            <w:vAlign w:val="center"/>
          </w:tcPr>
          <w:p w14:paraId="3926E9E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平面反射</w:t>
            </w:r>
          </w:p>
        </w:tc>
        <w:tc>
          <w:tcPr>
            <w:tcW w:w="2350" w:type="dxa"/>
            <w:vAlign w:val="center"/>
          </w:tcPr>
          <w:p w14:paraId="0C0A6ED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700405"/>
                  <wp:effectExtent l="0" t="0" r="7620" b="444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04AF6C4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 w14:paraId="37374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1" w:hRule="atLeast"/>
          <w:jc w:val="center"/>
        </w:trPr>
        <w:tc>
          <w:tcPr>
            <w:tcW w:w="532" w:type="dxa"/>
            <w:vAlign w:val="center"/>
          </w:tcPr>
          <w:p w14:paraId="3BA0430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09</w:t>
            </w:r>
          </w:p>
        </w:tc>
        <w:tc>
          <w:tcPr>
            <w:tcW w:w="2527" w:type="dxa"/>
            <w:vAlign w:val="center"/>
          </w:tcPr>
          <w:p w14:paraId="4AF2D8B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调焦望远镜</w:t>
            </w:r>
          </w:p>
        </w:tc>
        <w:tc>
          <w:tcPr>
            <w:tcW w:w="2350" w:type="dxa"/>
            <w:vAlign w:val="center"/>
          </w:tcPr>
          <w:p w14:paraId="1BDDC67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848360"/>
                  <wp:effectExtent l="0" t="0" r="7620" b="8890"/>
                  <wp:docPr id="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84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29D30AB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M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T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M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  <w:p w14:paraId="239F091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kern w:val="0"/>
                        <w:sz w:val="21"/>
                        <w:szCs w:val="21"/>
                        <w:lang w:val="en-US" w:eastAsia="zh-CN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M</m:t>
                    </m:r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kern w:val="0"/>
                        <w:sz w:val="21"/>
                        <w:szCs w:val="21"/>
                        <w:lang w:val="en-US" w:eastAsia="zh-CN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T</m:t>
                    </m:r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楷体" w:cs="Times New Roman"/>
                    <w:color w:val="000000" w:themeColor="text1"/>
                    <w:kern w:val="0"/>
                    <w:sz w:val="21"/>
                    <w:szCs w:val="21"/>
                    <w:lang w:val="en-US" w:eastAsia="zh-CN" w:bidi="ar"/>
                    <w14:textFill>
                      <w14:solidFill>
                        <w14:schemeClr w14:val="tx1"/>
                      </w14:solidFill>
                    </w14:textFill>
                  </w:rPr>
                  <m:t>=−</m:t>
                </m:r>
                <m:f>
                  <m:fPr>
                    <m:type m:val="skw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eastAsia="zh-CN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楷体" w:cs="Times New Roman"/>
                            <w:color w:val="000000" w:themeColor="text1"/>
                            <w:kern w:val="0"/>
                            <w:sz w:val="21"/>
                            <w:szCs w:val="21"/>
                            <w:lang w:val="en-US" w:eastAsia="zh-CN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楷体" w:cs="Times New Roman"/>
                            <w:color w:val="000000" w:themeColor="text1"/>
                            <w:kern w:val="0"/>
                            <w:sz w:val="21"/>
                            <w:szCs w:val="21"/>
                            <w:lang w:val="en-US" w:eastAsia="zh-CN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eastAsia="zh-CN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楷体" w:cs="Times New Roman"/>
                            <w:color w:val="000000" w:themeColor="text1"/>
                            <w:kern w:val="0"/>
                            <w:sz w:val="21"/>
                            <w:szCs w:val="21"/>
                            <w:lang w:val="en-US" w:eastAsia="zh-CN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楷体" w:cs="Times New Roman"/>
                            <w:color w:val="000000" w:themeColor="text1"/>
                            <w:kern w:val="0"/>
                            <w:sz w:val="21"/>
                            <w:szCs w:val="21"/>
                            <w:lang w:val="en-US" w:eastAsia="zh-CN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eastAsia="zh-CN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 w14:paraId="2997D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  <w:jc w:val="center"/>
        </w:trPr>
        <w:tc>
          <w:tcPr>
            <w:tcW w:w="532" w:type="dxa"/>
            <w:vAlign w:val="center"/>
          </w:tcPr>
          <w:p w14:paraId="58D0436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527" w:type="dxa"/>
            <w:vAlign w:val="center"/>
          </w:tcPr>
          <w:p w14:paraId="6D6054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离焦望远镜</w:t>
            </w:r>
          </w:p>
        </w:tc>
        <w:tc>
          <w:tcPr>
            <w:tcW w:w="2350" w:type="dxa"/>
            <w:vAlign w:val="center"/>
          </w:tcPr>
          <w:p w14:paraId="3935EAD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440180" cy="804545"/>
                  <wp:effectExtent l="0" t="0" r="7620" b="14605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vAlign w:val="center"/>
          </w:tcPr>
          <w:p w14:paraId="1973D28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楷体" w:cs="Times New Roman"/>
                            <w:bCs w:val="0"/>
                            <w:i/>
                            <w:iCs w:val="0"/>
                            <w:color w:val="000000" w:themeColor="text1"/>
                            <w:kern w:val="0"/>
                            <w:sz w:val="21"/>
                            <w:szCs w:val="21"/>
                            <w:lang w:val="en-US" w:bidi="a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M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T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Δ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f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Δ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 w:eastAsia="楷体" w:cs="Times New Roman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eastAsia="zh-CN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 w:eastAsia="楷体" w:cs="Times New Roman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eastAsia="zh-CN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 w:eastAsia="楷体" w:cs="Times New Roman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eastAsia="zh-CN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 w:eastAsia="楷体" w:cs="Times New Roman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eastAsia="zh-CN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hint="default" w:ascii="Cambria Math" w:hAnsi="Cambria Math" w:eastAsia="楷体" w:cs="Times New Roman"/>
                                          <w:bCs w:val="0"/>
                                          <w:i/>
                                          <w:iCs w:val="0"/>
                                          <w:color w:val="000000" w:themeColor="text1"/>
                                          <w:kern w:val="0"/>
                                          <w:sz w:val="21"/>
                                          <w:szCs w:val="21"/>
                                          <w:lang w:val="en-US" w:bidi="ar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M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r>
                            <m:rPr/>
                            <w:rPr>
                              <w:rFonts w:hint="default" w:ascii="Cambria Math" w:hAnsi="Cambria Math" w:eastAsia="楷体" w:cs="Times New Roman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楷体" w:cs="Times New Roman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Δ</m:t>
                              </m:r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f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楷体" w:cs="Times New Roman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eastAsia="zh-CN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楷体" w:cs="Times New Roman"/>
                                      <w:bCs w:val="0"/>
                                      <w:i/>
                                      <w:iCs w:val="0"/>
                                      <w:color w:val="000000" w:themeColor="text1"/>
                                      <w:kern w:val="0"/>
                                      <w:sz w:val="21"/>
                                      <w:szCs w:val="21"/>
                                      <w:lang w:val="en-US" w:bidi="a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楷体" w:cs="Times New Roman"/>
                                  <w:bCs w:val="0"/>
                                  <w:i/>
                                  <w:iCs w:val="0"/>
                                  <w:color w:val="000000" w:themeColor="text1"/>
                                  <w:kern w:val="0"/>
                                  <w:sz w:val="21"/>
                                  <w:szCs w:val="21"/>
                                  <w:lang w:val="en-US" w:eastAsia="zh-CN" w:bidi="ar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楷体" w:cs="Times New Roman"/>
                              <w:bCs w:val="0"/>
                              <w:i/>
                              <w:iCs w:val="0"/>
                              <w:color w:val="000000" w:themeColor="text1"/>
                              <w:kern w:val="0"/>
                              <w:sz w:val="21"/>
                              <w:szCs w:val="21"/>
                              <w:lang w:val="en-US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楷体" w:cs="Times New Roman"/>
                        <w:bCs w:val="0"/>
                        <w:i/>
                        <w:iCs w:val="0"/>
                        <w:color w:val="000000" w:themeColor="text1"/>
                        <w:kern w:val="0"/>
                        <w:sz w:val="21"/>
                        <w:szCs w:val="21"/>
                        <w:lang w:val="en-US" w:bidi="ar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</w:tbl>
    <w:p w14:paraId="249E69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*见</w:t>
      </w:r>
      <w:r>
        <w:rPr>
          <w:rFonts w:hint="eastAsia" w:hAnsi="Times New Roman" w:eastAsia="楷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脚本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文件ABCDM.m</w:t>
      </w:r>
    </w:p>
    <w:p w14:paraId="015BBD3E">
      <w:pPr>
        <w:pStyle w:val="5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6" w:name="_Toc10453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2.1.3.2 晶体近似</w:t>
      </w:r>
      <w:bookmarkEnd w:id="16"/>
    </w:p>
    <w:p w14:paraId="7E91D70B">
      <w:pPr>
        <w:pStyle w:val="6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 薄透镜</w:t>
      </w:r>
    </w:p>
    <w:p w14:paraId="7F49D9B3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将晶体视为薄透镜，由实验测得其焦距为</w:t>
      </w:r>
      <w:r>
        <w:rPr>
          <w:rFonts w:hint="default" w:ascii="Times New Roman" w:hAnsi="Times New Roman" w:eastAsia="宋体" w:cs="Times New Roman"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，那么晶体的传输矩阵为</w:t>
      </w:r>
    </w:p>
    <w:p w14:paraId="03CE149C">
      <w:pPr>
        <w:widowControl w:val="0"/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M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f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</m:m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2.1.3.1）</w:t>
      </w:r>
    </w:p>
    <w:p w14:paraId="412636C5">
      <w:pPr>
        <w:pStyle w:val="6"/>
        <w:bidi w:val="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 厚透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镜</w:t>
      </w:r>
    </w:p>
    <w:p w14:paraId="5F33264D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将晶体视为双凸厚透镜。设厚透镜主距为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ℎ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ℎ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，焦距为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f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，则有</w:t>
      </w:r>
    </w:p>
    <w:p w14:paraId="1CDA3335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f1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ℎ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ℎ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+ℎ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f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0FE52B71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2.1.3.2）</w:t>
      </w:r>
    </w:p>
    <w:p w14:paraId="21D0C3CA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实际工作中常取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ℎ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ℎ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</w:p>
    <w:p w14:paraId="644D6BCF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另一方面，设厚透镜两端面曲率半径分别为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ρ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ρ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，几何厚度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l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，折射率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的介质构成，并置于折射率为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的介质中（如</w:t>
      </w: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2.1.3.1所示），则变换矩阵为</w:t>
      </w:r>
    </w:p>
    <w:p w14:paraId="11E97CFF"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88285" cy="1840230"/>
            <wp:effectExtent l="0" t="0" r="12065" b="7620"/>
            <wp:docPr id="30" name="图片 30" descr="屏幕截图 2024-06-20 19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06-20 1928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EAD"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2.1.3.1   厚透镜示意</w:t>
      </w: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图</w:t>
      </w:r>
    </w:p>
    <w:p w14:paraId="01284190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f2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Back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/>
              <w14:textFill>
                <w14:solidFill>
                  <w14:schemeClr w14:val="tx1"/>
                </w14:solidFill>
              </w14:textFill>
            </w:rPr>
            <m:t>∙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Medium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/>
              <w14:textFill>
                <w14:solidFill>
                  <w14:schemeClr w14:val="tx1"/>
                </w14:solidFill>
              </w14:textFill>
            </w:rPr>
            <m:t>∙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Front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1+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ρ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f>
                          <m:f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ρ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d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l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  <w:highlight w:val="none"/>
                                            <w:lang w:val="en-US" w:eastAsia="zh-CN" w:bidi="ar-SA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  <w:highlight w:val="none"/>
                                            <w:lang w:val="en-US" w:eastAsia="zh-CN" w:bidi="ar-SA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n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  <w:highlight w:val="none"/>
                                            <w:lang w:val="en-US" w:eastAsia="zh-CN" w:bidi="ar-SA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  <w:highlight w:val="none"/>
                                            <w:lang w:val="en-US" w:eastAsia="zh-CN" w:bidi="ar-SA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  <w:highlight w:val="none"/>
                                            <w:lang w:val="en-US" w:eastAsia="zh-CN" w:bidi="ar-SA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ρ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ρ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en>
                        </m:f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1+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7C15C6D9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2.1.3.3）</w:t>
      </w:r>
    </w:p>
    <w:p w14:paraId="28E69C4B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比较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2.1.3.2和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2.1.3.2可得</w:t>
      </w:r>
    </w:p>
    <w:p w14:paraId="393953E6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d>
          <m:dPr>
            <m:begChr m:val="{"/>
            <m:endChr m:val="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eqArr>
              <m:eqArr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qArrPr>
              <m:e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ℎ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=−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n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ρ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n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e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ℎ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=−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n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ρ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n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olor w:val="000000" w:themeColor="text1"/>
                            <w:kern w:val="2"/>
                            <w:sz w:val="28"/>
                            <w:szCs w:val="28"/>
                            <w:lang w:val="en-US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f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n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highlight w:val="none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  <w:highlight w:val="none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ρ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ρ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kern w:val="2"/>
                                <w:sz w:val="28"/>
                                <w:szCs w:val="28"/>
                                <w:highlight w:val="none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eqAr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2C47029F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实际工作中常取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ρ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=−</m:t>
        </m:r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ρ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</w:p>
    <w:p w14:paraId="05E6A83F">
      <w:pPr>
        <w:pStyle w:val="6"/>
        <w:numPr>
          <w:ilvl w:val="0"/>
          <w:numId w:val="1"/>
        </w:numPr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7" w:name="_Toc12839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薄透镜序列</w:t>
      </w:r>
      <w:bookmarkEnd w:id="17"/>
    </w:p>
    <w:p w14:paraId="5BD24654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将晶体视为等焦距薄透镜序列，如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2.1.3.2所示。</w:t>
      </w:r>
    </w:p>
    <w:p w14:paraId="63103627"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59860" cy="1979930"/>
            <wp:effectExtent l="0" t="0" r="2540" b="127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C128"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2.1.3.2   薄透镜序列示意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01A6FCD1"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其中</w:t>
      </w:r>
    </w:p>
    <w:p w14:paraId="4FFC2F3B">
      <w:pPr>
        <w:numPr>
          <w:ilvl w:val="0"/>
          <w:numId w:val="0"/>
        </w:numPr>
        <w:ind w:leftChars="0" w:firstLine="420" w:firstLineChars="0"/>
        <w:jc w:val="right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=⋯=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=f</m:t>
        </m:r>
      </m:oMath>
      <w:r>
        <w:rPr>
          <w:rFonts w:hint="eastAsia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0A446EA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则晶体的传输矩阵为</w:t>
      </w:r>
    </w:p>
    <w:p w14:paraId="74D44BD0">
      <w:pPr>
        <w:numPr>
          <w:ilvl w:val="0"/>
          <w:numId w:val="0"/>
        </w:numPr>
        <w:ind w:leftChars="0"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M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−</m:t>
                          </m:r>
                          <m:f>
                            <m:f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f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∙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−</m:t>
                  </m:r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f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</m:m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1F3ABF3F">
      <w:p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薄透镜序列近似中，若薄透镜焦距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i=1,2,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⋯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,n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满足其他关系，需特殊考虑。如单端面泵浦和双端面泵浦情况。</w:t>
      </w:r>
    </w:p>
    <w:p w14:paraId="3FD93585">
      <w:pPr>
        <w:numPr>
          <w:ilvl w:val="0"/>
          <w:numId w:val="0"/>
        </w:numPr>
        <w:ind w:leftChars="0" w:firstLine="420" w:firstLineChars="0"/>
        <w:jc w:val="right"/>
        <w:rPr>
          <w:rFonts w:hint="default" w:hAnsi="Cambria Math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M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f2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{"/>
              <m:endChr m:val="}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=</m:t>
                  </m:r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n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i=2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mPr>
                            <m:m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0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−</m:t>
                                </m:r>
                                <m:f>
                                  <m:fP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i/>
                                        <w:color w:val="000000" w:themeColor="text1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hint="default" w:ascii="Cambria Math" w:hAnsi="Cambria Math" w:eastAsia="宋体" w:cs="Times New Roman"/>
                                        <w:color w:val="000000" w:themeColor="text1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i/>
                                        <w:color w:val="000000" w:themeColor="text1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i/>
                                            <w:color w:val="000000" w:themeColor="text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i/>
                                            <w:color w:val="000000" w:themeColor="text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 w:eastAsia="宋体" w:cs="Times New Roman"/>
                                            <w:color w:val="000000" w:themeColor="text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宋体" w:cs="Times New Roman"/>
                                            <w:i/>
                                            <w:color w:val="000000" w:themeColor="text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 w:eastAsia="宋体" w:cs="Times New Roman"/>
                                        <w:i/>
                                        <w:color w:val="000000" w:themeColor="text1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mr>
                          </m:m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mPr>
                            <m:m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  <w:highlight w:val="none"/>
                                    <w:lang w:val="en-US" w:eastAsia="zh-CN" w:bidi="ar-SA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L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0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mr>
                          </m:m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∙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19383ECA">
      <w:pPr>
        <w:numPr>
          <w:ilvl w:val="0"/>
          <w:numId w:val="0"/>
        </w:numPr>
        <w:ind w:leftChars="0"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1E7E58A2">
      <w:pPr>
        <w:pStyle w:val="6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18" w:name="_Toc20970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5.  </w:t>
      </w:r>
      <w:bookmarkEnd w:id="18"/>
      <w:bookmarkStart w:id="19" w:name="OLE_LINK1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梯度热透镜</w:t>
      </w:r>
      <w:bookmarkEnd w:id="19"/>
    </w:p>
    <w:p w14:paraId="1E977375"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52700" cy="21145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DF06"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2.1.3.3   梯度热透镜示意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0FFEE780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设介质折射率满足</w:t>
      </w:r>
    </w:p>
    <w:p w14:paraId="13E9E970">
      <w:pPr>
        <w:ind w:firstLine="420" w:firstLineChars="0"/>
        <w:jc w:val="right"/>
        <w:rPr>
          <w:rFonts w:hint="default" w:ascii="Times New Roman" w:hAnsi="Times New Roman" w:eastAsia="宋体" w:cs="Times New Roman"/>
          <w:i/>
          <w:iCs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n</m:t>
        </m:r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n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cs="Times New Roman"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，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&gt;0</m:t>
        </m:r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60111223">
      <w:pP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将其代入亥姆霍次方程，在近轴近似及缓变振幅近似下，可以求解得到其传输矩阵为</w:t>
      </w:r>
    </w:p>
    <w:p w14:paraId="7B879EBD">
      <w:pPr>
        <w:jc w:val="right"/>
        <w:rPr>
          <w:rFonts w:hint="default" w:ascii="Times New Roman" w:hAnsi="Times New Roman" w:eastAsia="宋体" w:cs="Times New Roman"/>
          <w:b/>
          <w:bCs/>
          <w:i/>
          <w:iCs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bi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M</m:t>
        </m:r>
        <m:d>
          <m:dPr>
            <m:begChr m:val="|"/>
            <m:endChr m:val=""/>
            <m:ctrlPr>
              <w:rPr>
                <w:rFonts w:hint="default" w:ascii="Cambria Math" w:hAnsi="Cambria Math" w:eastAsia="宋体" w:cs="Times New Roman"/>
                <w:b/>
                <w:bCs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宋体" w:cs="Times New Roman"/>
                    <w:b/>
                    <w:bCs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 </m:t>
                  </m:r>
                  <m:ctrlPr>
                    <w:rPr>
                      <w:rFonts w:hint="default" w:ascii="Cambria Math" w:hAnsi="Cambria Math" w:eastAsia="宋体" w:cs="Times New Roman"/>
                      <w:b/>
                      <w:bCs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n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&gt;0</m:t>
                  </m:r>
                  <m:ctrlPr>
                    <w:rPr>
                      <w:rFonts w:hint="default" w:ascii="Cambria Math" w:hAnsi="Cambria Math" w:eastAsia="宋体" w:cs="Times New Roman"/>
                      <w:b/>
                      <w:bCs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</m:m>
            <m:ctrlPr>
              <w:rPr>
                <w:rFonts w:hint="default" w:ascii="Cambria Math" w:hAnsi="Cambria Math" w:eastAsia="宋体" w:cs="Times New Roman"/>
                <w:b/>
                <w:bCs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bi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b/>
                <w:bCs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宋体" w:cs="Times New Roman"/>
                    <w:b w:val="0"/>
                    <w:bCs w:val="0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cos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γ</m:t>
                          </m:r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b w:val="0"/>
                      <w:bCs w:val="0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b w:val="0"/>
                                  <w:bCs w:val="0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highlight w:val="none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highlight w:val="none"/>
                                  <w:lang w:val="en-US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γ</m:t>
                              </m:r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highlight w:val="none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L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b w:val="0"/>
                                  <w:bCs w:val="0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highlight w:val="none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func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γ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b w:val="0"/>
                      <w:bCs w:val="0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−n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γ</m:t>
                  </m:r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sin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γ</m:t>
                          </m:r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b w:val="0"/>
                      <w:bCs w:val="0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func>
                    <m:funcP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cos</m:t>
                      </m:r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γ</m:t>
                          </m:r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b w:val="0"/>
                              <w:bCs w:val="0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  <w:highlight w:val="none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highlight w:val="none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func>
                  <m:ctrlPr>
                    <w:rPr>
                      <w:rFonts w:hint="default" w:ascii="Cambria Math" w:hAnsi="Cambria Math" w:eastAsia="宋体" w:cs="Times New Roman"/>
                      <w:b w:val="0"/>
                      <w:bCs w:val="0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highlight w:val="none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</m:m>
            <m:ctrlPr>
              <w:rPr>
                <w:rFonts w:hint="default" w:ascii="Cambria Math" w:hAnsi="Cambria Math" w:eastAsia="宋体" w:cs="Times New Roman"/>
                <w:b/>
                <w:bCs/>
                <w:i/>
                <w:i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9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71262078"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</w:p>
    <w:p w14:paraId="13A894FF">
      <w:pPr>
        <w:jc w:val="right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bidi="ar-SA"/>
            <w14:textFill>
              <w14:solidFill>
                <w14:schemeClr w14:val="tx1"/>
              </w14:solidFill>
            </w14:textFill>
          </w:rPr>
          <m:t>γ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highlight w:val="none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rad>
          <m:radPr>
            <m:degHide m:val="1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radPr>
          <m:deg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g>
          <m:e>
            <m:f>
              <m:fPr>
                <m:ctrlPr>
                  <w:rPr>
                    <w:rFonts w:hint="default" w:ascii="Cambria Math" w:hAnsi="Cambria Math" w:eastAsia="宋体" w:cs="Times New Roman"/>
                    <w:b w:val="0"/>
                    <w:bCs w:val="0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n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b w:val="0"/>
                    <w:bCs w:val="0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b w:val="0"/>
                        <w:bCs w:val="0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n</m:t>
                    </m:r>
                    <m:ctrlPr>
                      <w:rPr>
                        <w:rFonts w:hint="default" w:ascii="Cambria Math" w:hAnsi="Cambria Math" w:eastAsia="宋体" w:cs="Times New Roman"/>
                        <w:b w:val="0"/>
                        <w:bCs w:val="0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cs="Times New Roman"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b w:val="0"/>
                        <w:bCs w:val="0"/>
                        <w:i/>
                        <w:iCs/>
                        <w:color w:val="000000" w:themeColor="text1"/>
                        <w:kern w:val="2"/>
                        <w:sz w:val="28"/>
                        <w:szCs w:val="28"/>
                        <w:highlight w:val="none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b w:val="0"/>
                    <w:bCs w:val="0"/>
                    <w:i/>
                    <w:iCs/>
                    <w:color w:val="000000" w:themeColor="text1"/>
                    <w:kern w:val="2"/>
                    <w:sz w:val="28"/>
                    <w:szCs w:val="28"/>
                    <w:highlight w:val="none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rad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2.1.3.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10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>）</w:t>
      </w:r>
    </w:p>
    <w:p w14:paraId="598F3954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利用上述近似关系，编辑脚本文件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Atest_MainCryAppro.m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。运行得仿真结果如下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所示。</w:t>
      </w:r>
    </w:p>
    <w:p w14:paraId="713B40EB">
      <w:p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680970"/>
            <wp:effectExtent l="0" t="0" r="10160" b="508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5CE1">
      <w:p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2.1.3.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不同近似的光束尺寸随位置分布</w:t>
      </w:r>
    </w:p>
    <w:p w14:paraId="2A086399">
      <w:pPr>
        <w:ind w:firstLine="560" w:firstLineChars="200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由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可见，对于给定焦距的厚透镜近似，可以取得比较满意的结果。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8"/>
          <w:u w:val="wavyDouble"/>
          <w:lang w:val="en-US" w:eastAsia="zh-CN"/>
          <w14:textFill>
            <w14:solidFill>
              <w14:schemeClr w14:val="tx1"/>
            </w14:solidFill>
          </w14:textFill>
        </w:rPr>
        <w:t>以后的程序代码中，对晶体均采用厚透镜近似。</w:t>
      </w:r>
    </w:p>
    <w:p w14:paraId="5F35FFDB">
      <w:pPr>
        <w:pStyle w:val="4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0" w:name="_Toc2016"/>
      <w:bookmarkStart w:id="21" w:name="_Toc8964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2.1.4 复杂光束传输矩阵的使用</w:t>
      </w:r>
      <w:bookmarkEnd w:id="20"/>
      <w:bookmarkEnd w:id="21"/>
    </w:p>
    <w:p w14:paraId="0DB92E72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本节使用高斯光束的复参数表示和ABCD定律推导出高斯光束通过复杂光学系统的一般变换公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10AD1985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2.1.4.1所示，在折射率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的物空间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处入射复参数为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的高斯光束，通过变换矩阵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c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mr>
            </m:m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的复杂光学系统后，在折射率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的像空间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处变换为复参数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的高斯光束，于是有</w:t>
      </w:r>
    </w:p>
    <w:p w14:paraId="55DCD51A">
      <w:pPr>
        <w:widowControl w:val="0"/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q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i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i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−i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λ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i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π</m:t>
            </m:r>
            <m:sSubSup>
              <m:sSubSup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i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bSup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−i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，i=1,2</m:t>
        </m:r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2.1.4.1）</w:t>
      </w:r>
    </w:p>
    <w:p w14:paraId="56C2652E"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71570" cy="1617345"/>
            <wp:effectExtent l="0" t="0" r="508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30C3"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2.1.4.1   高斯光束通过复杂光学系统的变换</w:t>
      </w:r>
    </w:p>
    <w:p w14:paraId="0ACFD2A8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2.1.4.1中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分别以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RP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RP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为参考计算，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RP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之左为正，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RP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之右为正，反之为负。由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至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的变换遵从ABCD定律</w:t>
      </w:r>
    </w:p>
    <w:p w14:paraId="354A6B21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q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C+</m:t>
            </m:r>
            <m:f>
              <m:fPr>
                <m:type m:val="skw"/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D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A+</m:t>
            </m:r>
            <m:f>
              <m:fPr>
                <m:type m:val="skw"/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B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q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2.1.4.2）</w:t>
      </w:r>
    </w:p>
    <w:p w14:paraId="7477316C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</w:p>
    <w:p w14:paraId="3C335A4A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/>
          <w:bCs/>
          <w:i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>
              <m:sty m:val="bi"/>
            </m:rPr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M=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B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C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D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b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c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d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mP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a+c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b+a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+d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+c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c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d+c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232DDBF3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2.1.4.3）</w:t>
      </w:r>
    </w:p>
    <w:p w14:paraId="1291699C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将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2.1.4.1、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2.1.4.3代入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2.1.4.2，并利用变换矩阵的性质得</w:t>
      </w:r>
    </w:p>
    <w:p w14:paraId="19AD1995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Y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BD+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X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AD+BC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+AC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+2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X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AB+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Y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1995787C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+2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X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AB+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Y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663B91EC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2.1.4.4）</w:t>
      </w:r>
    </w:p>
    <w:p w14:paraId="01E3F14B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2.1.4.4即高斯光束通过复杂光学系统的一般变换公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中诸量均为实数。现对公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的一些特例进行讨论。</w:t>
      </w:r>
    </w:p>
    <w:p w14:paraId="4F0C5467"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当入射光束取在束腰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处，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=0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</w:p>
    <w:p w14:paraId="438DC667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λ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1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π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w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01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01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2.1.4.5）</w:t>
      </w:r>
    </w:p>
    <w:p w14:paraId="341CD1A1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为物方瑞利长度，则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2.1.4.4成为</w:t>
      </w:r>
    </w:p>
    <w:p w14:paraId="6518D6A3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BD+AC</m:t>
              </m:r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b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b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631240F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b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34F27E3D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2.1.4.6）</w:t>
      </w:r>
    </w:p>
    <w:p w14:paraId="752E478C"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实际工作中最感兴趣的是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0，即研究入射与出射高斯光束束腰间的变换问题，此时</w:t>
      </w:r>
      <w:r>
        <w:rPr>
          <w:rFonts w:hint="eastAsia" w:hAnsi="Times New Roman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2.1.4.4简化为</w:t>
      </w:r>
    </w:p>
    <w:p w14:paraId="1526E083"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BD+AC</m:t>
          </m:r>
          <m:sSubSup>
            <m:sSubSup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01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bSup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=0</m:t>
          </m:r>
        </m:oMath>
      </m:oMathPara>
    </w:p>
    <w:p w14:paraId="40FB61A6"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02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bSup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1ACF3BC7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2.1.4.7）</w:t>
      </w:r>
    </w:p>
    <w:p w14:paraId="53CB17D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设</w:t>
      </w:r>
    </w:p>
    <w:p w14:paraId="2B1D4380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 xml:space="preserve">, 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2.1.4.8）</w:t>
      </w:r>
    </w:p>
    <w:p w14:paraId="2EF65CAE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c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≠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0</m:t>
        </m:r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时，可将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2.1.4.7写为</w:t>
      </w:r>
    </w:p>
    <w:p w14:paraId="1C709D8C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i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=−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a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c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+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d+c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s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c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bSup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75916271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02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w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01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d+c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color w:val="000000" w:themeColor="text1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color w:val="000000" w:themeColor="text1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0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color w:val="000000" w:themeColor="text1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c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sSubSup>
                        <m:sSub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b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Z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01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bSup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1/2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7FD4364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2.1.4.9）</w:t>
      </w:r>
    </w:p>
    <w:p w14:paraId="0D1F65E5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2.1.4.9决定了像方束腰位置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和像方束腰大小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，常称为成像公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和物像比例公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。</w:t>
      </w:r>
    </w:p>
    <w:p w14:paraId="6A94B839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当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时，</w:t>
      </w:r>
      <w:r>
        <w:rPr>
          <w:rFonts w:hint="eastAsia" w:hAnsi="Times New Roman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2.1.4.7亦可写成为</w:t>
      </w:r>
    </w:p>
    <w:p w14:paraId="491D63ED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a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0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+d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i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+c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0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i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+b=−</m:t>
          </m:r>
          <m:sSubSup>
            <m:sSubSup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01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bSup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c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a+b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i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d+c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s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0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3F88340E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02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01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sSup>
            <m:sSup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a+c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i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+d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i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+c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i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+b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01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1/2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w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01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begChr m:val="|"/>
              <m:endChr m:val="|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a+c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s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sSup>
            <m:sSup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1+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01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bSup>
                  <m:f>
                    <m:f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c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d+c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宋体" w:cs="Times New Roman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0</m:t>
                                  </m:r>
                                  <m:ctrlPr>
                                    <w:rPr>
                                      <w:rFonts w:hint="default" w:ascii="Cambria Math" w:hAnsi="Cambria Math" w:eastAsia="宋体" w:cs="Times New Roman"/>
                                      <w:i/>
                                      <w:iCs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d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en>
                  </m:f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1/2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</m:oMath>
      </m:oMathPara>
    </w:p>
    <w:p w14:paraId="5D9E82F1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2.1.4.10）</w:t>
      </w:r>
    </w:p>
    <w:p w14:paraId="52E5110E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基于此理论和使用嵌入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基模光束描述，编写了</w:t>
      </w:r>
      <w:r>
        <w:rPr>
          <w:rFonts w:hint="eastAsia" w:hAnsi="Times New Roman" w:cs="Times New Roman"/>
          <w:b/>
          <w:i w:val="0"/>
          <w:iCs w:val="0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ABCDRez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代码包中光束传输函数（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fLRMm、fLLMm、fRLMm、fRRMm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）。</w:t>
      </w:r>
    </w:p>
    <w:p w14:paraId="0D9480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i w:val="0"/>
          <w:iCs w:val="0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*注：第二个字母表示入射光束相对于光学系统的位置，第三个字母表示出射光束相对于光学系统的位置。如fLRMm中，“L”表示从光学系统左侧入射，“R”表示从光学系统右侧出射。</w:t>
      </w:r>
    </w:p>
    <w:p w14:paraId="1A4A49E3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函数中令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=1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，这也是常见的情况。若遇折射率不等，只需在变换前，预先传输通过一不同介质界面的传输矩阵即可。</w:t>
      </w:r>
      <w:r>
        <w:rPr>
          <w:rFonts w:hint="eastAsia" w:hAnsi="Times New Roman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详见脚本文件</w:t>
      </w:r>
      <w:r>
        <w:rPr>
          <w:rFonts w:hint="eastAsia" w:hAnsi="Times New Roman" w:cs="Times New Roman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Atest_fXXMx.m</w:t>
      </w:r>
      <w:r>
        <w:rPr>
          <w:rFonts w:hint="eastAsia" w:hAnsi="Times New Roman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91D54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9BAD79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*高阶高斯光束由左向右传输</w:t>
            </w:r>
          </w:p>
          <w:p w14:paraId="7454CE6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02m,theta02m,L02m]=fLRMm(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01m,theta01m,L01m,lambda,cM,lencM,dcM)</w:t>
            </w:r>
          </w:p>
          <w:tbl>
            <w:tblPr>
              <w:tblStyle w:val="1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35"/>
              <w:gridCol w:w="5386"/>
            </w:tblGrid>
            <w:tr w14:paraId="303FA4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35608CB3"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386" w:type="dxa"/>
                  <w:vAlign w:val="center"/>
                </w:tcPr>
                <w:p w14:paraId="66807C57"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2F1F0D9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7C71D953"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01m,theta01m,L01m</w:t>
                  </w:r>
                </w:p>
              </w:tc>
              <w:tc>
                <w:tcPr>
                  <w:tcW w:w="5386" w:type="dxa"/>
                  <w:vAlign w:val="center"/>
                </w:tcPr>
                <w:p w14:paraId="599CC351"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输入高斯光束束腰、发散角、光腰位置</w:t>
                  </w:r>
                </w:p>
              </w:tc>
            </w:tr>
            <w:tr w14:paraId="598F9D3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21684945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lambda</w:t>
                  </w:r>
                </w:p>
              </w:tc>
              <w:tc>
                <w:tcPr>
                  <w:tcW w:w="5386" w:type="dxa"/>
                  <w:vAlign w:val="center"/>
                </w:tcPr>
                <w:p w14:paraId="23A14EDE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光束波长</w:t>
                  </w:r>
                </w:p>
              </w:tc>
            </w:tr>
            <w:tr w14:paraId="4941451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1CF1BE0E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cM</w:t>
                  </w:r>
                </w:p>
              </w:tc>
              <w:tc>
                <w:tcPr>
                  <w:tcW w:w="5386" w:type="dxa"/>
                  <w:vAlign w:val="center"/>
                </w:tcPr>
                <w:p w14:paraId="31F96643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光学系统的2*2变换矩阵</w:t>
                  </w:r>
                </w:p>
              </w:tc>
            </w:tr>
            <w:tr w14:paraId="7FF1D3A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3E7A8680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lencM</w:t>
                  </w:r>
                </w:p>
              </w:tc>
              <w:tc>
                <w:tcPr>
                  <w:tcW w:w="5386" w:type="dxa"/>
                  <w:vAlign w:val="center"/>
                </w:tcPr>
                <w:p w14:paraId="2B3921D1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光学系统的长度</w:t>
                  </w:r>
                </w:p>
              </w:tc>
            </w:tr>
            <w:tr w14:paraId="691FCBE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26A2896B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dcM</w:t>
                  </w:r>
                </w:p>
              </w:tc>
              <w:tc>
                <w:tcPr>
                  <w:tcW w:w="5386" w:type="dxa"/>
                  <w:vAlign w:val="center"/>
                </w:tcPr>
                <w:p w14:paraId="7B415A3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入射光束与光学系统的第一接触面相对于原点所处位置</w:t>
                  </w:r>
                </w:p>
              </w:tc>
            </w:tr>
          </w:tbl>
          <w:p w14:paraId="76005A1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*高阶高斯光束由左向左传输（反射）</w:t>
            </w:r>
          </w:p>
          <w:p w14:paraId="67F8142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02m,theta02m,L02m]=fLLMm(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01m,theta01m,L01m,lambda,cM,lencM,dcM)</w:t>
            </w:r>
          </w:p>
          <w:p w14:paraId="4D5957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*高阶高斯光束由右向左传输</w:t>
            </w:r>
          </w:p>
          <w:p w14:paraId="31EBA64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02m,theta02m,L02m]=fRLMm(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01m,theta01m,L01m,lambda,cM,lencM,dcM)</w:t>
            </w:r>
          </w:p>
          <w:p w14:paraId="5A68FE3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*高阶高斯光束由右向右传输（反射）</w:t>
            </w:r>
          </w:p>
          <w:p w14:paraId="3B1CF9B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i w:val="0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02m,theta02m,L02m]=fRRMm(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01m,theta01m,L01m,lambda,cM,lencM,dcM)</w:t>
            </w:r>
          </w:p>
        </w:tc>
      </w:tr>
    </w:tbl>
    <w:p w14:paraId="262AF16A">
      <w:pPr>
        <w:pStyle w:val="4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2" w:name="_Toc23798"/>
      <w:bookmarkStart w:id="23" w:name="_Toc3307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2.1.5 光束拟合</w:t>
      </w:r>
      <w:bookmarkEnd w:id="22"/>
      <w:bookmarkEnd w:id="23"/>
    </w:p>
    <w:p w14:paraId="71AE242E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如前所述，高斯光束的束宽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由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2.1.5.1描述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，M2因子由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2.1.5.2定义。</w:t>
      </w:r>
    </w:p>
    <w:p w14:paraId="23533F4D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Sup>
          <m:sSub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</m:t>
        </m:r>
        <m:sSubSup>
          <m:sSub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∙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z−</m:t>
                </m:r>
                <m:sSub>
                  <m:sSub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hint="eastAsia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2.1.5.1）</w:t>
      </w:r>
    </w:p>
    <w:p w14:paraId="0531D8F0">
      <w:pPr>
        <w:numPr>
          <w:ilvl w:val="0"/>
          <w:numId w:val="0"/>
        </w:numPr>
        <w:ind w:firstLine="420" w:firstLineChars="0"/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M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f>
          <m:fP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π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λ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2.1.5.2）</w:t>
      </w:r>
    </w:p>
    <w:p w14:paraId="7A579D68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而光斑大小常采用</w:t>
      </w: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光强的二阶矩描述。</w:t>
      </w:r>
    </w:p>
    <w:p w14:paraId="016E46B8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radPr>
            <m:deg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g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ra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σ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;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=2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;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=2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5C90A2B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2.1.5.3）</w:t>
      </w:r>
    </w:p>
    <w:p w14:paraId="72B1DDBF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p>
            <m:sSup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p>
          <m:d>
            <m:d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rdrd</m:t>
                  </m:r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φ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rdrd</m:t>
                  </m:r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φ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08F59A01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Sup>
            <m:sSubSup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bSup>
          <m:d>
            <m:d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x−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 w:val="0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 w:val="0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acc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72A8E1C4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Sup>
            <m:sSubSup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Sup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σ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  <m: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p>
          </m:sSubSup>
          <m:d>
            <m:d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default" w:ascii="Cambria Math" w:hAnsi="Cambria Math" w:eastAsia="宋体" w:cs="Times New Roman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y−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 w:val="0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hint="default" w:ascii="Cambria Math" w:hAnsi="Cambria Math" w:eastAsia="宋体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eastAsia="宋体" w:cs="Times New Roman"/>
                                  <w:i/>
                                  <w:iCs w:val="0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e>
                          </m:acc>
                          <m:ctrlPr>
                            <w:rPr>
                              <w:rFonts w:hint="default" w:ascii="Cambria Math" w:hAnsi="Cambria Math" w:eastAsia="宋体" w:cs="Times New Roman"/>
                              <w:i/>
                              <w:iCs w:val="0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 w:eastAsia="zh-CN" w:bidi="ar-SA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34CBC5D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2.1.5.4）</w:t>
      </w:r>
    </w:p>
    <w:p w14:paraId="6129BE30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  <m:oMath>
        <m:acc>
          <m:accPr>
            <m:chr m:val="̅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acc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acc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、</w:t>
      </w:r>
      <m:oMath>
        <m:acc>
          <m:accPr>
            <m:chr m:val="̅"/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acc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acc>
      </m:oMath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是光强的一阶矩，分别表示为</w:t>
      </w:r>
    </w:p>
    <w:p w14:paraId="780048E2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acc>
            <m:accPr>
              <m:chr m:val="̅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acc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x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acc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xI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296D5609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acc>
            <m:accPr>
              <m:chr m:val="̅"/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acc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y</m:t>
              </m: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acc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yI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nary>
                <m:naryPr>
                  <m:chr m:val="∬"/>
                  <m:limLoc m:val="undOvr"/>
                  <m:subHide m:val="1"/>
                  <m:supHide m:val="1"/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aryPr>
                <m:sub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  <m:sup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x,y,z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 w:val="0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dxdy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nary>
              <m:ctrlPr>
                <w:rPr>
                  <w:rFonts w:hint="default" w:ascii="Cambria Math" w:hAnsi="Cambria Math" w:eastAsia="宋体" w:cs="Times New Roman"/>
                  <w:i/>
                  <w:iCs w:val="0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 w14:paraId="05AF6C09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2.1.5.5）</w:t>
      </w:r>
    </w:p>
    <w:p w14:paraId="181FED40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仿真中常取为零。</w:t>
      </w:r>
      <w:bookmarkStart w:id="47" w:name="_GoBack"/>
      <w:bookmarkEnd w:id="47"/>
    </w:p>
    <w:p w14:paraId="32F86210"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根据上述理论，编辑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函数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D4sigmaofI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D4sigmaofIr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通过截面定义束宽。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DD30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54" w:hRule="atLeast"/>
        </w:trPr>
        <w:tc>
          <w:tcPr>
            <w:tcW w:w="8522" w:type="dxa"/>
          </w:tcPr>
          <w:p w14:paraId="1D54D66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x,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y]=D4sigmaofI(XX,YY,Iz)</w:t>
            </w:r>
          </w:p>
          <w:tbl>
            <w:tblPr>
              <w:tblStyle w:val="14"/>
              <w:tblW w:w="831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68"/>
              <w:gridCol w:w="5450"/>
            </w:tblGrid>
            <w:tr w14:paraId="4C5C921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4A6CEAED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386" w:type="dxa"/>
                  <w:vAlign w:val="center"/>
                </w:tcPr>
                <w:p w14:paraId="46316497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07BB601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22EB5F3A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XX,YY</w:t>
                  </w:r>
                </w:p>
              </w:tc>
              <w:tc>
                <w:tcPr>
                  <w:tcW w:w="5386" w:type="dxa"/>
                  <w:vAlign w:val="center"/>
                </w:tcPr>
                <w:p w14:paraId="4066B2E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截面网格</w:t>
                  </w:r>
                </w:p>
              </w:tc>
            </w:tr>
            <w:tr w14:paraId="1E48E24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052D057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Iz</w:t>
                  </w:r>
                </w:p>
              </w:tc>
              <w:tc>
                <w:tcPr>
                  <w:tcW w:w="5386" w:type="dxa"/>
                  <w:vAlign w:val="center"/>
                </w:tcPr>
                <w:p w14:paraId="66A5202B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截面光强</w:t>
                  </w:r>
                </w:p>
              </w:tc>
            </w:tr>
            <w:tr w14:paraId="2669675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1C049EA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x</w:t>
                  </w:r>
                </w:p>
              </w:tc>
              <w:tc>
                <w:tcPr>
                  <w:tcW w:w="5386" w:type="dxa"/>
                  <w:vAlign w:val="center"/>
                </w:tcPr>
                <w:p w14:paraId="2AF1164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该截面拟合后x方向束宽</w:t>
                  </w:r>
                </w:p>
              </w:tc>
            </w:tr>
            <w:tr w14:paraId="5ADF81A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64E1B19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y</w:t>
                  </w:r>
                </w:p>
              </w:tc>
              <w:tc>
                <w:tcPr>
                  <w:tcW w:w="5386" w:type="dxa"/>
                  <w:vAlign w:val="center"/>
                </w:tcPr>
                <w:p w14:paraId="0F67056A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该截面拟合后y方向束宽</w:t>
                  </w:r>
                </w:p>
              </w:tc>
            </w:tr>
          </w:tbl>
          <w:p w14:paraId="2B799BF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r=D4sigmaofIr(Iz)</w:t>
            </w:r>
          </w:p>
          <w:tbl>
            <w:tblPr>
              <w:tblStyle w:val="14"/>
              <w:tblW w:w="831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68"/>
              <w:gridCol w:w="5450"/>
            </w:tblGrid>
            <w:tr w14:paraId="0EB91F1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1BAF7DA7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386" w:type="dxa"/>
                  <w:vAlign w:val="center"/>
                </w:tcPr>
                <w:p w14:paraId="1D4A8183">
                  <w:pPr>
                    <w:keepNext w:val="0"/>
                    <w:keepLines w:val="0"/>
                    <w:widowControl/>
                    <w:suppressLineNumbers w:val="0"/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vertAlign w:val="baseli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2CF7F57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7D37CE5B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Iz</w:t>
                  </w:r>
                </w:p>
              </w:tc>
              <w:tc>
                <w:tcPr>
                  <w:tcW w:w="5386" w:type="dxa"/>
                  <w:vAlign w:val="center"/>
                </w:tcPr>
                <w:p w14:paraId="625F64A7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截面光强</w:t>
                  </w:r>
                </w:p>
              </w:tc>
            </w:tr>
            <w:tr w14:paraId="3FB1F6E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481098C9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</w:p>
              </w:tc>
              <w:tc>
                <w:tcPr>
                  <w:tcW w:w="5386" w:type="dxa"/>
                  <w:vAlign w:val="center"/>
                </w:tcPr>
                <w:p w14:paraId="2641136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ind w:left="0" w:leftChars="0" w:firstLine="0" w:firstLineChars="0"/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该截面拟合后束宽</w:t>
                  </w:r>
                </w:p>
              </w:tc>
            </w:tr>
          </w:tbl>
          <w:p w14:paraId="77A1CEFD">
            <w:pPr>
              <w:numPr>
                <w:ilvl w:val="0"/>
                <w:numId w:val="0"/>
              </w:numP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1E3FE4A4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调用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M2FitZ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函数通过不同位置的束宽拟合光束。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C793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2" w:hRule="atLeast"/>
        </w:trPr>
        <w:tc>
          <w:tcPr>
            <w:tcW w:w="8522" w:type="dxa"/>
          </w:tcPr>
          <w:p w14:paraId="217838E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03m,theta03m,L03m,M03m]= M2FitZ(lZ, 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Z,lambda)</w:t>
            </w:r>
          </w:p>
          <w:tbl>
            <w:tblPr>
              <w:tblStyle w:val="14"/>
              <w:tblW w:w="831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68"/>
              <w:gridCol w:w="5450"/>
            </w:tblGrid>
            <w:tr w14:paraId="40DC2DD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63D5B364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386" w:type="dxa"/>
                  <w:vAlign w:val="center"/>
                </w:tcPr>
                <w:p w14:paraId="4AD0A69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4E83938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791AA56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lZ</w:t>
                  </w:r>
                </w:p>
              </w:tc>
              <w:tc>
                <w:tcPr>
                  <w:tcW w:w="5386" w:type="dxa"/>
                  <w:vAlign w:val="center"/>
                </w:tcPr>
                <w:p w14:paraId="01D22D51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采样点位置</w:t>
                  </w:r>
                </w:p>
              </w:tc>
            </w:tr>
            <w:tr w14:paraId="124C3F1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5C3457C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Z</w:t>
                  </w:r>
                </w:p>
              </w:tc>
              <w:tc>
                <w:tcPr>
                  <w:tcW w:w="5386" w:type="dxa"/>
                  <w:vAlign w:val="center"/>
                </w:tcPr>
                <w:p w14:paraId="039D58C8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采样点的束宽（半径）</w:t>
                  </w:r>
                </w:p>
              </w:tc>
            </w:tr>
            <w:tr w14:paraId="2B9F9C1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4129214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lambda</w:t>
                  </w:r>
                </w:p>
              </w:tc>
              <w:tc>
                <w:tcPr>
                  <w:tcW w:w="5386" w:type="dxa"/>
                  <w:vAlign w:val="center"/>
                </w:tcPr>
                <w:p w14:paraId="194FB7B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光束波长</w:t>
                  </w:r>
                </w:p>
              </w:tc>
            </w:tr>
            <w:tr w14:paraId="652DA0C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19584BE9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03m,theta03m,L03m</w:t>
                  </w:r>
                </w:p>
              </w:tc>
              <w:tc>
                <w:tcPr>
                  <w:tcW w:w="5386" w:type="dxa"/>
                  <w:vAlign w:val="center"/>
                </w:tcPr>
                <w:p w14:paraId="0D0BD92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拟合后的光束光腰、发散角、光腰位置</w:t>
                  </w:r>
                </w:p>
              </w:tc>
            </w:tr>
            <w:tr w14:paraId="185F90F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35" w:type="dxa"/>
                  <w:vAlign w:val="center"/>
                </w:tcPr>
                <w:p w14:paraId="45CC2C0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M03m</w:t>
                  </w:r>
                </w:p>
              </w:tc>
              <w:tc>
                <w:tcPr>
                  <w:tcW w:w="5386" w:type="dxa"/>
                  <w:vAlign w:val="center"/>
                </w:tcPr>
                <w:p w14:paraId="68D45B0A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拟合后的光束质量M2</w:t>
                  </w:r>
                </w:p>
              </w:tc>
            </w:tr>
          </w:tbl>
          <w:p w14:paraId="6805BC8E">
            <w:pPr>
              <w:numPr>
                <w:ilvl w:val="0"/>
                <w:numId w:val="0"/>
              </w:numP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51A9B183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6B82F222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3345901C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02A31A6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 w14:paraId="71947E1F">
      <w:pPr>
        <w:pStyle w:val="2"/>
        <w:bidi w:val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4" w:name="_Toc20218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第三部分 应用</w:t>
      </w:r>
      <w:bookmarkEnd w:id="24"/>
    </w:p>
    <w:p w14:paraId="1D4EA94D">
      <w:pPr>
        <w:pStyle w:val="3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5" w:name="_Toc11815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 光束调节与匹配</w:t>
      </w:r>
      <w:bookmarkEnd w:id="25"/>
    </w:p>
    <w:p w14:paraId="202242FA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6" w:name="_Toc5567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3.1.1 望远镜调节与设计</w:t>
      </w:r>
      <w:bookmarkEnd w:id="26"/>
    </w:p>
    <w:p w14:paraId="5FEAC331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设由双凸或双凹厚透镜构成望远镜调节光束束宽、发散角、准直性等。</w:t>
      </w:r>
    </w:p>
    <w:p w14:paraId="12E93F3A"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bCs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/>
          <w:bCs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示例：</w:t>
      </w:r>
    </w:p>
    <w:p w14:paraId="6D389BC3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现有光束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=1.35mm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=1.5195mrad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=0.3995m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从望远镜左侧入射。光束与望远镜接触的第一个面距原点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cM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=1m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欲进行光束变换，使得光束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满足指标要求。</w:t>
      </w:r>
    </w:p>
    <w:p w14:paraId="150E14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(a). </w:t>
      </w:r>
      <m:oMath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d>
          <m:d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0.5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±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0.2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∗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 w14:paraId="4B565A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(b). </w:t>
      </w:r>
      <m:oMath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d>
          <m:d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2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±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0.3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∗θ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 w14:paraId="6ABDA3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(c). </w:t>
      </w:r>
      <m:oMath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&gt;</m:t>
        </m:r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cM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+</m:t>
        </m:r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len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cM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，且</w:t>
      </w:r>
      <m:oMath>
        <m:d>
          <m:dPr>
            <m:begChr m:val="|"/>
            <m:endChr m:val="|"/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楷体" w:cs="Times New Roman"/>
                    <w:b w:val="0"/>
                    <w:bCs w:val="0"/>
                    <w:i/>
                    <w:color w:val="000000" w:themeColor="text1"/>
                    <w:sz w:val="21"/>
                    <w:szCs w:val="2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楷体" w:cs="Times New Roman"/>
                    <w:color w:val="000000" w:themeColor="text1"/>
                    <w:sz w:val="21"/>
                    <w:szCs w:val="2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L</m:t>
                </m:r>
                <m:ctrlPr>
                  <w:rPr>
                    <w:rFonts w:hint="default" w:ascii="Cambria Math" w:hAnsi="Cambria Math" w:eastAsia="楷体" w:cs="Times New Roman"/>
                    <w:b w:val="0"/>
                    <w:bCs w:val="0"/>
                    <w:i/>
                    <w:color w:val="000000" w:themeColor="text1"/>
                    <w:sz w:val="21"/>
                    <w:szCs w:val="2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楷体" w:cs="Times New Roman"/>
                    <w:color w:val="000000" w:themeColor="text1"/>
                    <w:sz w:val="21"/>
                    <w:szCs w:val="2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03</m:t>
                </m:r>
                <m:ctrlPr>
                  <w:rPr>
                    <w:rFonts w:hint="default" w:ascii="Cambria Math" w:hAnsi="Cambria Math" w:eastAsia="楷体" w:cs="Times New Roman"/>
                    <w:b w:val="0"/>
                    <w:bCs w:val="0"/>
                    <w:i/>
                    <w:color w:val="000000" w:themeColor="text1"/>
                    <w:sz w:val="21"/>
                    <w:szCs w:val="2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−</m:t>
            </m:r>
            <m:d>
              <m:dPr>
                <m:ctrlPr>
                  <w:rPr>
                    <w:rFonts w:hint="default" w:ascii="Cambria Math" w:hAnsi="Cambria Math" w:eastAsia="楷体" w:cs="Times New Roman"/>
                    <w:b w:val="0"/>
                    <w:bCs w:val="0"/>
                    <w:i/>
                    <w:color w:val="000000" w:themeColor="text1"/>
                    <w:sz w:val="21"/>
                    <w:szCs w:val="2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Pr>
              <m:e>
                <m:sSub>
                  <m:sSubP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sz w:val="21"/>
                        <w:szCs w:val="21"/>
                        <w:highlight w:val="none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d</m:t>
                    </m: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sz w:val="21"/>
                        <w:szCs w:val="21"/>
                        <w:highlight w:val="none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cM</m:t>
                    </m: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楷体" w:cs="Times New Roman"/>
                    <w:color w:val="000000" w:themeColor="text1"/>
                    <w:sz w:val="21"/>
                    <w:szCs w:val="2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+</m:t>
                </m:r>
                <m:sSub>
                  <m:sSubP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sz w:val="21"/>
                        <w:szCs w:val="21"/>
                        <w:highlight w:val="none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len</m:t>
                    </m: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楷体" w:cs="Times New Roman"/>
                        <w:color w:val="000000" w:themeColor="text1"/>
                        <w:sz w:val="21"/>
                        <w:szCs w:val="21"/>
                        <w:highlight w:val="none"/>
                        <w:lang w:val="en-US"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cM</m:t>
                    </m:r>
                    <m:ctrlPr>
                      <w:rPr>
                        <w:rFonts w:hint="default" w:ascii="Cambria Math" w:hAnsi="Cambria Math" w:eastAsia="楷体" w:cs="Times New Roman"/>
                        <w:b w:val="0"/>
                        <w:bCs w:val="0"/>
                        <w:i/>
                        <w:color w:val="000000" w:themeColor="text1"/>
                        <w:sz w:val="21"/>
                        <w:szCs w:val="21"/>
                        <w:highlight w:val="none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default" w:ascii="Cambria Math" w:hAnsi="Cambria Math" w:eastAsia="楷体" w:cs="Times New Roman"/>
                    <w:b w:val="0"/>
                    <w:bCs w:val="0"/>
                    <w:i/>
                    <w:color w:val="000000" w:themeColor="text1"/>
                    <w:sz w:val="21"/>
                    <w:szCs w:val="2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</m:d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&lt;0.8∗</m:t>
        </m:r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 w14:paraId="5ADD4E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(d). 系统附近的光斑半径需大于0.5</w:t>
      </w:r>
      <w:r>
        <w:rPr>
          <w:rFonts w:hint="default" w:ascii="Times New Roman" w:hAnsi="Times New Roman" w:eastAsia="楷体" w:cs="Times New Roman"/>
          <w:b w:val="0"/>
          <w:bCs w:val="0"/>
          <w:i/>
          <w:i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mm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系统的总长度</w:t>
      </w:r>
      <m:oMath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len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cM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&lt;160mm</m:t>
        </m:r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 w14:paraId="7B3155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(e). 出口处的光斑与入口处的光斑的关系为</w:t>
      </w:r>
      <m:oMath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out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楷体" w:cs="Times New Roman"/>
            <w:color w:val="000000" w:themeColor="text1"/>
            <w:sz w:val="21"/>
            <w:szCs w:val="2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d>
          <m:d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0.5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±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0.1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e>
        </m:d>
        <m:sSub>
          <m:sSubP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∗</m:t>
            </m:r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楷体" w:cs="Times New Roman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in</m:t>
            </m:r>
            <m:ctrlPr>
              <w:rPr>
                <w:rFonts w:hint="default" w:ascii="Cambria Math" w:hAnsi="Cambria Math" w:eastAsia="楷体" w:cs="Times New Roman"/>
                <w:b w:val="0"/>
                <w:bCs w:val="0"/>
                <w:i/>
                <w:color w:val="000000" w:themeColor="text1"/>
                <w:sz w:val="21"/>
                <w:szCs w:val="2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楷体" w:cs="Times New Roman"/>
          <w:b w:val="0"/>
          <w:bCs w:val="0"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 w14:paraId="5F7E3689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len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cM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为望远镜系统的总长度，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03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f>
          <m:fPr>
            <m:type m:val="skw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w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03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θ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highlight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03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highlight w:val="none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m:ctrlPr>
          </m:den>
        </m:f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为从右侧出射光束的瑞利长度。</w:t>
      </w:r>
    </w:p>
    <w:p w14:paraId="6D60E16A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脚本文件</w:t>
      </w:r>
      <w:r>
        <w:rPr>
          <w:rFonts w:hint="default" w:ascii="Times New Roman" w:hAnsi="Times New Roman" w:eastAsia="宋体" w:cs="Times New Roman"/>
          <w:b/>
          <w:bCs/>
          <w:i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Atest_Telescope.m</w:t>
      </w:r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描述了此类型的设计方案，并计算得出了望远镜设计的具体参数。</w:t>
      </w:r>
    </w:p>
    <w:p w14:paraId="24723969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7" w:name="_Toc12304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 单程或多程放大</w:t>
      </w:r>
      <w:bookmarkEnd w:id="27"/>
    </w:p>
    <w:p w14:paraId="0D6EDEAB">
      <w:pPr>
        <w:pStyle w:val="5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8" w:name="_Toc14076"/>
      <w:bookmarkStart w:id="29" w:name="_Toc3205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3.1.2.1 棒状晶体热透镜效应</w:t>
      </w:r>
      <w:bookmarkEnd w:id="28"/>
      <w:bookmarkEnd w:id="29"/>
    </w:p>
    <w:p w14:paraId="3C91D8EE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圆棒晶体端泵时，可视为轴对称情形，与角度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φ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无关，此时为二维情况。那么热传导方程为</w:t>
      </w:r>
    </w:p>
    <w:p w14:paraId="6518A56F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m:oMathPara>
        <m:oMath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∂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T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r,z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r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+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T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r,z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r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+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∂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T</m:t>
              </m:r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r,z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m:t>∂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m:t>z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=−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1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q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v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m:t>r,z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31F3E7FF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3.1.2.1）</w:t>
      </w:r>
    </w:p>
    <w:p w14:paraId="167B18F3"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可使用MATLAB的PDE工具箱方便地求解此热传导方程（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3.1.2.1）。PDE工具箱中标准椭圆型方程为</w:t>
      </w:r>
    </w:p>
    <w:p w14:paraId="2B05AFDD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−∇∙</m:t>
        </m:r>
        <m:d>
          <m:dP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c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∇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+</m:t>
        </m:r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au=f</m:t>
        </m:r>
      </m:oMath>
      <w:r>
        <w:rPr>
          <w:rFonts w:hint="eastAsia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3.1.2.2）</w:t>
      </w:r>
    </w:p>
    <w:p w14:paraId="783D9192"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3.1.2.2考虑与</w:t>
      </w:r>
      <w:r>
        <w:rPr>
          <w:rFonts w:hint="default" w:ascii="Times New Roman" w:hAnsi="Times New Roman" w:eastAsia="宋体" w:cs="Times New Roman"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z</w:t>
      </w:r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无关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，在直角坐标系展开为</w:t>
      </w:r>
    </w:p>
    <w:p w14:paraId="6F823763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x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y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+au=f</m:t>
        </m:r>
      </m:oMath>
      <w:r>
        <w:rPr>
          <w:rFonts w:hint="eastAsia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3.1.2.3）</w:t>
      </w:r>
    </w:p>
    <w:p w14:paraId="60EA88BD"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做变量替换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x=z,y=r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得</w:t>
      </w:r>
    </w:p>
    <w:p w14:paraId="5BC21527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c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+au=f</m:t>
        </m:r>
      </m:oMath>
      <w:r>
        <w:rPr>
          <w:rFonts w:hint="eastAsia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3.1.2.4）</w:t>
      </w:r>
    </w:p>
    <w:p w14:paraId="28903ED7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若令</w:t>
      </w:r>
    </w:p>
    <w:p w14:paraId="1B5BF4CD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c=r;a=0;f=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k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v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</m:oMath>
      <w:r>
        <w:rPr>
          <w:rFonts w:hint="eastAsia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3.1.2.5）</w:t>
      </w:r>
    </w:p>
    <w:p w14:paraId="7C5DB982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则可得</w:t>
      </w:r>
    </w:p>
    <w:p w14:paraId="33817BED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z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>
            <m:sty m:val="p"/>
          </m:rPr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∂</m:t>
            </m:r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en>
        </m:f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r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u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  <m:t>∂</m:t>
                </m:r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m:t>r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k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n>
        </m:f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q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v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d>
          <m:d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r,z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r</m:t>
        </m:r>
      </m:oMath>
      <w:r>
        <w:rPr>
          <w:rFonts w:hint="eastAsia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3.1.2.6）</w:t>
      </w:r>
    </w:p>
    <w:p w14:paraId="01BAB687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化简即可得轴对称情形的热传导方程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3.1.2.1。即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可使用MATLAB的PDE工具箱方便地求解此热传导方程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3.1.2.1。</w:t>
      </w:r>
    </w:p>
    <w:p w14:paraId="5E710442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1630812A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165D3934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单端泵浦时</w:t>
      </w:r>
    </w:p>
    <w:p w14:paraId="7CB8D955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q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v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r,z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2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α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η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ℎeat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P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in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π</m:t>
              </m:r>
              <m:sSup>
                <m:sSup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ω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p>
              </m:sSup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  <m:t>1−exp</m:t>
                  </m:r>
                  <m:d>
                    <m:d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−α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L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</m:d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−2</m:t>
              </m:r>
              <m:f>
                <m:f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fPr>
                <m:num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r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num>
                <m:den>
                  <m:sSup>
                    <m:s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ω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:kern w:val="2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  <w:lang w:val="en-US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olor w:val="000000" w:themeColor="text1"/>
                      <w:kern w:val="2"/>
                      <w:sz w:val="28"/>
                      <w:szCs w:val="28"/>
                      <w:lang w:val="en-US" w:eastAsia="zh-CN" w:bidi="ar-SA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den>
              </m:f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000000" w:themeColor="text1"/>
              <w:kern w:val="2"/>
              <w:sz w:val="28"/>
              <w:szCs w:val="2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m:t>exp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bidi="ar-SA"/>
                  <w14:textFill>
                    <w14:solidFill>
                      <w14:schemeClr w14:val="tx1"/>
                    </w14:solidFill>
                  </w14:textFill>
                </w:rPr>
                <m:t>−α</m:t>
              </m:r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  <m:t>z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olor w:val="000000" w:themeColor="text1"/>
                  <w:kern w:val="2"/>
                  <w:sz w:val="28"/>
                  <w:szCs w:val="28"/>
                  <w:lang w:val="en-US" w:eastAsia="zh-CN" w:bidi="ar-SA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155C2224">
      <w:pPr>
        <w:numPr>
          <w:ilvl w:val="0"/>
          <w:numId w:val="0"/>
        </w:numPr>
        <w:jc w:val="right"/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Cambria Math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······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（</w:t>
      </w:r>
      <w:r>
        <w:rPr>
          <w:rFonts w:hint="eastAsia" w:hAnsi="Times New Roman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3.1.2.7）</w:t>
      </w:r>
    </w:p>
    <w:p w14:paraId="72F0C9A5"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其中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ω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z</m:t>
        </m:r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的函数：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ω</m:t>
        </m:r>
        <m:d>
          <m:d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z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=</m:t>
        </m:r>
        <m:rad>
          <m:radPr>
            <m:degHide m:val="1"/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radPr>
          <m:deg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deg>
          <m:e>
            <m:sSubSup>
              <m:sSubSup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ω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0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bSup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bidi="ar-SA"/>
                    <w14:textFill>
                      <w14:solidFill>
                        <w14:schemeClr w14:val="tx1"/>
                      </w14:solidFill>
                    </w14:textFill>
                  </w:rPr>
                  <m:t>θ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z−</m:t>
                    </m:r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0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color w:val="000000" w:themeColor="text1"/>
                        <w:kern w:val="2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olor w:val="000000" w:themeColor="text1"/>
                    <w:kern w:val="2"/>
                    <w:sz w:val="28"/>
                    <w:szCs w:val="28"/>
                    <w:lang w:val="en-US" w:eastAsia="zh-CN" w:bidi="ar-SA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m:ctrlPr>
          </m:e>
        </m:rad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bidi="ar-SA"/>
            <w14:textFill>
              <w14:solidFill>
                <w14:schemeClr w14:val="tx1"/>
              </w14:solidFill>
            </w14:textFill>
          </w:rPr>
          <m:t>α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为吸收系数，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  <m:t>η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ℎeat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为发热效率，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P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kern w:val="2"/>
                <w:sz w:val="28"/>
                <w:szCs w:val="2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m:t>in</m:t>
            </m:r>
            <m:ctrlPr>
              <w:rPr>
                <w:rFonts w:hint="default" w:ascii="Cambria Math" w:hAnsi="Cambria Math" w:eastAsia="宋体" w:cs="Times New Roman"/>
                <w:i/>
                <w:iCs/>
                <w:color w:val="000000" w:themeColor="text1"/>
                <w:kern w:val="2"/>
                <w:sz w:val="28"/>
                <w:szCs w:val="28"/>
                <w:lang w:val="en-US" w:bidi="ar-SA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为入射功率，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kern w:val="2"/>
            <w:sz w:val="28"/>
            <w:szCs w:val="28"/>
            <w:lang w:val="en-US" w:eastAsia="zh-CN" w:bidi="ar-SA"/>
            <w14:textFill>
              <w14:solidFill>
                <w14:schemeClr w14:val="tx1"/>
              </w14:solidFill>
            </w14:textFill>
          </w:rPr>
          <m:t>L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为晶体长度。</w:t>
      </w:r>
    </w:p>
    <w:p w14:paraId="388957CA">
      <w:pPr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简单考虑，双端泵浦的情</w:t>
      </w:r>
      <w:r>
        <w:rPr>
          <w:rFonts w:hint="default" w:ascii="Times New Roman" w:hAnsi="Times New Roman" w:eastAsia="宋体" w:cs="Times New Roman"/>
          <w:i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况就相当于两个单端泵浦的热源函数相加。</w:t>
      </w:r>
    </w:p>
    <w:p w14:paraId="327039FF">
      <w:p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查阅文献资料得晶体的热力学参数，并由此编写脚本文件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Atest_heat0</w:t>
      </w:r>
      <w:r>
        <w:rPr>
          <w:rFonts w:hint="eastAsia" w:hAnsi="Times New Roman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.m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运行得出结果如下。（其中，黑线为简单考虑热透镜后的泵浦光束的轮廓，等高线为归一化后的热源分布，彩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为稳定后的归一化热分布。）</w:t>
      </w:r>
    </w:p>
    <w:p w14:paraId="321AFD9C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0200" cy="3351530"/>
            <wp:effectExtent l="0" t="0" r="12700" b="127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F974">
      <w:pPr>
        <w:numPr>
          <w:ilvl w:val="0"/>
          <w:numId w:val="0"/>
        </w:numPr>
        <w:ind w:firstLine="560" w:firstLineChars="20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 xml:space="preserve">3.1.2.1   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单端泵浦热分析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38E11778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 w14:paraId="6276AA40">
      <w:pPr>
        <w:jc w:val="center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0200" cy="3396615"/>
            <wp:effectExtent l="0" t="0" r="12700" b="1333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3B2F">
      <w:pPr>
        <w:numPr>
          <w:ilvl w:val="0"/>
          <w:numId w:val="0"/>
        </w:numPr>
        <w:ind w:firstLine="560" w:firstLineChars="200"/>
        <w:jc w:val="center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i w:val="0"/>
          <w:iCs w:val="0"/>
          <w:color w:val="000000" w:themeColor="text1"/>
          <w:kern w:val="2"/>
          <w:sz w:val="28"/>
          <w:szCs w:val="28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3.1.2.2   双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端泵浦热分析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66A8ADDF">
      <w:pPr>
        <w:pStyle w:val="5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0" w:name="_Toc22748"/>
      <w:bookmarkStart w:id="31" w:name="_Toc4036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</w:t>
      </w:r>
      <w:r>
        <w:rPr>
          <w:rFonts w:hint="eastAsia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反射自再现</w:t>
      </w:r>
      <w:bookmarkEnd w:id="30"/>
      <w:bookmarkEnd w:id="31"/>
    </w:p>
    <w:p w14:paraId="7800ADE6">
      <w:pPr>
        <w:ind w:firstLine="560" w:firstLineChars="200"/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当入射光束参数为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及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时，总可以</w:t>
      </w:r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找到若干组放置于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ρ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处曲率为</w:t>
      </w:r>
      <m:oMath>
        <m:r>
          <m:rPr/>
          <w:rPr>
            <w:rFonts w:hint="default" w:ascii="Cambria Math" w:hAnsi="Cambria Math" w:eastAsia="宋体" w:cs="Times New Roman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ρ</m:t>
        </m:r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的反射镜，使得入射前后光束参数相同，即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w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m:t>θ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及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02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000000" w:themeColor="text1"/>
            <w:highlight w:val="none"/>
            <w:lang w:val="en-US" w:eastAsia="zh-CN"/>
            <w14:textFill>
              <w14:solidFill>
                <w14:schemeClr w14:val="tx1"/>
              </w14:solidFill>
            </w14:textFill>
          </w:rPr>
          <m:t>=</m:t>
        </m:r>
        <m:sSub>
          <m:sSubP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m:t>01</m:t>
            </m:r>
            <m:ctrlPr>
              <w:rPr>
                <w:rFonts w:hint="default" w:ascii="Cambria Math" w:hAnsi="Cambria Math" w:eastAsia="宋体" w:cs="Times New Roman"/>
                <w:i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4CB5FFAD">
      <w:p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结合函数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fLLMm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fRRMm 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编写反射自再现脚本。详见脚本文件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Atest_fXXMm.m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24B17D32">
      <w:pPr>
        <w:ind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95850" cy="39243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A457">
      <w:pPr>
        <w:ind w:firstLine="420" w:firstLineChars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3.1.2.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不同曲率实现反射自再现放置位置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568D6D96">
      <w:pPr>
        <w:pStyle w:val="3"/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2" w:name="_Toc25314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 驻波谐振腔</w:t>
      </w:r>
      <w:bookmarkEnd w:id="32"/>
    </w:p>
    <w:p w14:paraId="6A05D585">
      <w:p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可使用矩阵光学方法对多元件的稳定腔进行分析，采用“G参数等价腔”来描述腔内束宽。参见吕百达教授著《激光光学》第十章第一节。</w:t>
      </w:r>
    </w:p>
    <w:p w14:paraId="2DD53A88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3" w:name="_Toc26655"/>
      <w:bookmarkStart w:id="34" w:name="_Toc31521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3.2.1 两个厚透镜晶体加曲面腔镜的谐振腔</w:t>
      </w:r>
      <w:bookmarkEnd w:id="33"/>
      <w:bookmarkEnd w:id="34"/>
    </w:p>
    <w:p w14:paraId="62CE2604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使用“G参数等价腔”相关内容，编写具体函数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Rez4mThick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709A3305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88410" cy="1417955"/>
            <wp:effectExtent l="0" t="0" r="2540" b="1079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7AD0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3.2.1.1   谐振腔示意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6616893D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49015" cy="2862580"/>
            <wp:effectExtent l="0" t="0" r="1333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FCD1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3.2.1.2  腔内束宽示意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1E3A8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4" w:hRule="atLeast"/>
          <w:jc w:val="center"/>
        </w:trPr>
        <w:tc>
          <w:tcPr>
            <w:tcW w:w="8522" w:type="dxa"/>
          </w:tcPr>
          <w:p w14:paraId="4E9E3CF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www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thetaL0,FlagRez]=Rez4mThick(lambda,RezPara,str)</w:t>
            </w:r>
          </w:p>
          <w:tbl>
            <w:tblPr>
              <w:tblStyle w:val="14"/>
              <w:tblW w:w="831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68"/>
              <w:gridCol w:w="5450"/>
            </w:tblGrid>
            <w:tr w14:paraId="30FC0E2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31E5A09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450" w:type="dxa"/>
                  <w:vAlign w:val="center"/>
                </w:tcPr>
                <w:p w14:paraId="304D8BE4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2993608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616FB779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lambda</w:t>
                  </w:r>
                </w:p>
              </w:tc>
              <w:tc>
                <w:tcPr>
                  <w:tcW w:w="5450" w:type="dxa"/>
                  <w:vAlign w:val="center"/>
                </w:tcPr>
                <w:p w14:paraId="5B89CFB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波长</w:t>
                  </w:r>
                </w:p>
              </w:tc>
            </w:tr>
            <w:tr w14:paraId="29CE762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0ED870A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RezPara</w:t>
                  </w:r>
                </w:p>
              </w:tc>
              <w:tc>
                <w:tcPr>
                  <w:tcW w:w="5450" w:type="dxa"/>
                  <w:vAlign w:val="center"/>
                </w:tcPr>
                <w:p w14:paraId="4BF8AE97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谐振腔参数</w:t>
                  </w:r>
                </w:p>
              </w:tc>
            </w:tr>
            <w:tr w14:paraId="675B803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0793D03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str</w:t>
                  </w:r>
                </w:p>
              </w:tc>
              <w:tc>
                <w:tcPr>
                  <w:tcW w:w="5450" w:type="dxa"/>
                  <w:vAlign w:val="center"/>
                </w:tcPr>
                <w:p w14:paraId="4F2D38EE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若str为’plot’则绘</w:t>
                  </w: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图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；否则，不绘制</w:t>
                  </w:r>
                </w:p>
              </w:tc>
            </w:tr>
            <w:tr w14:paraId="10BB760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33FBD73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www</w:t>
                  </w:r>
                </w:p>
              </w:tc>
              <w:tc>
                <w:tcPr>
                  <w:tcW w:w="5450" w:type="dxa"/>
                  <w:vAlign w:val="center"/>
                </w:tcPr>
                <w:p w14:paraId="7C4A08F1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有效的束宽（这里用来描述模</w:t>
                  </w: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式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体积）</w:t>
                  </w:r>
                </w:p>
              </w:tc>
            </w:tr>
            <w:tr w14:paraId="1CC4353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69E843F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thetaL0</w:t>
                  </w:r>
                </w:p>
              </w:tc>
              <w:tc>
                <w:tcPr>
                  <w:tcW w:w="5450" w:type="dxa"/>
                  <w:vAlign w:val="center"/>
                </w:tcPr>
                <w:p w14:paraId="5F36CDF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靠近输出镜的光束的束腰、发散角、光腰位置信息</w:t>
                  </w:r>
                </w:p>
              </w:tc>
            </w:tr>
            <w:tr w14:paraId="4DC0B75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074604B3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FlagRez</w:t>
                  </w:r>
                </w:p>
              </w:tc>
              <w:tc>
                <w:tcPr>
                  <w:tcW w:w="5450" w:type="dxa"/>
                  <w:vAlign w:val="center"/>
                </w:tcPr>
                <w:p w14:paraId="52A34461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谐振腔的标志信息</w:t>
                  </w:r>
                </w:p>
              </w:tc>
            </w:tr>
          </w:tbl>
          <w:p w14:paraId="777AA848">
            <w:pPr>
              <w:numPr>
                <w:ilvl w:val="0"/>
                <w:numId w:val="0"/>
              </w:numP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567518E6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5" w:name="_Toc17695"/>
      <w:bookmarkStart w:id="36" w:name="_Toc1766"/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3.2.2 定距离求曲率</w:t>
      </w:r>
      <w:bookmarkEnd w:id="35"/>
      <w:bookmarkEnd w:id="36"/>
    </w:p>
    <w:p w14:paraId="39752637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实际应用中常需要设计紧凑型激光器，需在狭小空间放置腔镜。甚至，直接对晶体端面进行处理，使最终构成谐振腔能极大节省空间，达到激光器小型化的目的。</w:t>
      </w:r>
    </w:p>
    <w:p w14:paraId="3BE2AE67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详见脚本文件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Atest_Rez4mThickxxD2Rho.m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4CE8A948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7" w:name="_Toc19941"/>
      <w:bookmarkStart w:id="38" w:name="_Toc831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3.2.3 定曲率求距离</w:t>
      </w:r>
      <w:bookmarkEnd w:id="37"/>
      <w:bookmarkEnd w:id="38"/>
    </w:p>
    <w:p w14:paraId="508321DE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实际应用中，常常已经制备了若干曲率半径已知的腔镜，通过不同的组合搭配使得激光器拥有最佳的性能。</w:t>
      </w:r>
    </w:p>
    <w:p w14:paraId="1890B357">
      <w:pPr>
        <w:numPr>
          <w:ilvl w:val="0"/>
          <w:numId w:val="0"/>
        </w:numPr>
        <w:ind w:firstLine="560" w:firstLineChars="20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详见脚本文件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Atest_Rez4mThickxxRho2D.m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4D82A86B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39" w:name="_Toc21404"/>
      <w:bookmarkStart w:id="40" w:name="_Toc25222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3.2.4 腔内聚焦光束的设计</w:t>
      </w:r>
      <w:bookmarkEnd w:id="39"/>
      <w:bookmarkEnd w:id="40"/>
    </w:p>
    <w:p w14:paraId="46BE7C51"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激光谐振腔内为实现非线性变化而需要高密度激光时，则需要在非线性晶体内形成光腰。设计要求增益介质处的振荡光斑较大，以实现较好的光束质量；非线性晶体中心为振荡光斑的光腰，且其大小满足需求。</w:t>
      </w:r>
    </w:p>
    <w:p w14:paraId="7F1B48CF">
      <w:pPr>
        <w:widowControl w:val="0"/>
        <w:numPr>
          <w:ilvl w:val="0"/>
          <w:numId w:val="0"/>
        </w:numPr>
        <w:ind w:firstLine="560" w:firstLineChars="20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12845" cy="1933575"/>
            <wp:effectExtent l="0" t="0" r="190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B7B2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3.2.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4.1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腔内聚焦光束设计示意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5A7E152D"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脚本文件</w:t>
      </w:r>
      <w:r>
        <w:rPr>
          <w:rFonts w:hint="eastAsia" w:hAnsi="Times New Roman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Atest_Rez7mThickxxFocusFDRhoxxx.m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通过暴力求解得出一些信息，但耗时长，且计算出的腔型也比较敏感。</w:t>
      </w:r>
    </w:p>
    <w:p w14:paraId="07BDA9A0"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8D1EAA8"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下面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介绍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上述需求的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另一种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设计思路。</w:t>
      </w:r>
    </w:p>
    <w:p w14:paraId="6323FF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步骤1：</w:t>
      </w:r>
    </w:p>
    <w:p w14:paraId="3E909D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设计一个不含非线性晶体及其他变换元件的光学谐振腔，该谐振腔尽可能对热焦距变换不敏感。</w:t>
      </w:r>
    </w:p>
    <w:p w14:paraId="06D64B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步骤2：</w:t>
      </w:r>
    </w:p>
    <w:p w14:paraId="0E6A98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从该谐振腔某处插入变换元件，使得原谐振腔的光束恰能聚焦在非线性晶体中心，且光斑大小满足预定要求。（</w:t>
      </w:r>
      <w:r>
        <w:rPr>
          <w:rFonts w:hint="eastAsia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特别地，若是插入</w:t>
      </w:r>
      <w:r>
        <w:rPr>
          <w:rFonts w:hint="eastAsia" w:hAnsi="Times New Roman" w:eastAsia="楷体" w:cs="Times New Roman"/>
          <w:i/>
          <w:i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 f</w:t>
      </w:r>
      <w:r>
        <w:rPr>
          <w:rFonts w:hint="eastAsia" w:hAnsi="Times New Roman" w:eastAsia="楷体" w:cs="Times New Roman"/>
          <w:i w:val="0"/>
          <w:i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系统则入射与出射光束不变，但却浪费了空间。其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部分功能</w:t>
      </w:r>
      <w:r>
        <w:rPr>
          <w:rFonts w:hint="eastAsia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设计、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实现见脚本文件Atest_Compensation.m）</w:t>
      </w:r>
    </w:p>
    <w:p w14:paraId="244457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步骤3：</w:t>
      </w:r>
    </w:p>
    <w:p w14:paraId="0F2555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从非线性晶体另一端插入透镜，并使得其经腔镜反射后能自再现。（部分功能</w:t>
      </w:r>
      <w:r>
        <w:rPr>
          <w:rFonts w:hint="eastAsia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设计、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实现见脚本文件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Atest_fXXMm.m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 w14:paraId="4BC0E7BF">
      <w:pPr>
        <w:pStyle w:val="3"/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41" w:name="_Toc11835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 行波谐振腔</w:t>
      </w:r>
      <w:bookmarkEnd w:id="41"/>
    </w:p>
    <w:p w14:paraId="3A4A704E"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42" w:name="_Toc11013"/>
      <w:bookmarkStart w:id="43" w:name="_Toc25594"/>
      <w:r>
        <w:rPr>
          <w:rFonts w:hint="default" w:ascii="Times New Roman" w:hAnsi="Times New Roman" w:eastAsia="宋体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3.3.1 两个厚透镜晶体加透镜的谐振腔</w:t>
      </w:r>
      <w:bookmarkEnd w:id="42"/>
      <w:bookmarkEnd w:id="43"/>
    </w:p>
    <w:p w14:paraId="3A1BEF2E"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使用“G参数等价腔”相关内容，编写具体函数</w:t>
      </w:r>
      <w:r>
        <w:rPr>
          <w:rFonts w:hint="default" w:ascii="Times New Roman" w:hAnsi="Times New Roman" w:eastAsia="宋体" w:cs="Times New Roman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Rez4mThickRing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7CEED103">
      <w:pPr>
        <w:jc w:val="center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02965" cy="2459990"/>
            <wp:effectExtent l="0" t="0" r="6985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2F0B">
      <w:pPr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3.3.1.1   谐振腔示意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</w:t>
      </w:r>
    </w:p>
    <w:p w14:paraId="450CEFC0">
      <w:pPr>
        <w:jc w:val="center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39770" cy="2652395"/>
            <wp:effectExtent l="0" t="0" r="17780" b="1460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42E7">
      <w:pPr>
        <w:jc w:val="center"/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bookmarkStart w:id="44" w:name="OLE_LINK2"/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3.3.1.2   谐振腔腔内束宽示意</w:t>
      </w:r>
      <w:r>
        <w:rPr>
          <w:rFonts w:hint="eastAsia" w:hAnsi="Times New Roman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default" w:ascii="Times New Roman" w:hAnsi="Times New Roman" w:eastAsia="宋体" w:cs="Times New Roman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（从输出镜展开）</w:t>
      </w:r>
    </w:p>
    <w:bookmarkEnd w:id="44"/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A30C1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4" w:hRule="atLeast"/>
          <w:jc w:val="center"/>
        </w:trPr>
        <w:tc>
          <w:tcPr>
            <w:tcW w:w="8522" w:type="dxa"/>
          </w:tcPr>
          <w:p w14:paraId="36C75464">
            <w:pP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imes New Roman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page"/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www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eastAsia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hint="default" w:ascii="Times New Roman" w:hAnsi="Times New Roman" w:eastAsia="楷体" w:cs="Times New Roman"/>
                <w:b w:val="0"/>
                <w:bCs w:val="0"/>
                <w:i w:val="0"/>
                <w:iCs w:val="0"/>
                <w:color w:val="000000" w:themeColor="text1"/>
                <w:kern w:val="0"/>
                <w:sz w:val="21"/>
                <w:szCs w:val="21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thetaL0,FlagRez]=Rez4mThickRing(lambda, RezPara,str)</w:t>
            </w:r>
          </w:p>
          <w:tbl>
            <w:tblPr>
              <w:tblStyle w:val="14"/>
              <w:tblW w:w="831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68"/>
              <w:gridCol w:w="5450"/>
            </w:tblGrid>
            <w:tr w14:paraId="1F34D4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560002B7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变量</w:t>
                  </w:r>
                </w:p>
              </w:tc>
              <w:tc>
                <w:tcPr>
                  <w:tcW w:w="5450" w:type="dxa"/>
                  <w:vAlign w:val="center"/>
                </w:tcPr>
                <w:p w14:paraId="23EA9A1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意义</w:t>
                  </w:r>
                </w:p>
              </w:tc>
            </w:tr>
            <w:tr w14:paraId="2555551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7C7C77B2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lambda</w:t>
                  </w:r>
                </w:p>
              </w:tc>
              <w:tc>
                <w:tcPr>
                  <w:tcW w:w="5450" w:type="dxa"/>
                  <w:vAlign w:val="center"/>
                </w:tcPr>
                <w:p w14:paraId="4C7B80D1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波长</w:t>
                  </w:r>
                </w:p>
              </w:tc>
            </w:tr>
            <w:tr w14:paraId="0753269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7715A00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RezPara</w:t>
                  </w:r>
                </w:p>
              </w:tc>
              <w:tc>
                <w:tcPr>
                  <w:tcW w:w="5450" w:type="dxa"/>
                  <w:vAlign w:val="center"/>
                </w:tcPr>
                <w:p w14:paraId="796E94C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谐振腔参数</w:t>
                  </w:r>
                </w:p>
              </w:tc>
            </w:tr>
            <w:tr w14:paraId="4BBF2AC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637BABC9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str</w:t>
                  </w:r>
                </w:p>
              </w:tc>
              <w:tc>
                <w:tcPr>
                  <w:tcW w:w="5450" w:type="dxa"/>
                  <w:vAlign w:val="center"/>
                </w:tcPr>
                <w:p w14:paraId="55FD0790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若str为’plot’则绘</w:t>
                  </w: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图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；否则，不绘制</w:t>
                  </w:r>
                </w:p>
              </w:tc>
            </w:tr>
            <w:tr w14:paraId="62DB60C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4FB06F30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www</w:t>
                  </w:r>
                </w:p>
              </w:tc>
              <w:tc>
                <w:tcPr>
                  <w:tcW w:w="5450" w:type="dxa"/>
                  <w:vAlign w:val="center"/>
                </w:tcPr>
                <w:p w14:paraId="001FE32A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有效的束宽（这里用来描述模</w:t>
                  </w: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式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体积）</w:t>
                  </w:r>
                </w:p>
              </w:tc>
            </w:tr>
            <w:tr w14:paraId="317938C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6D286FA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u w:val="none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w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thetaL0</w:t>
                  </w:r>
                </w:p>
              </w:tc>
              <w:tc>
                <w:tcPr>
                  <w:tcW w:w="5450" w:type="dxa"/>
                  <w:vAlign w:val="center"/>
                </w:tcPr>
                <w:p w14:paraId="7F7CEB77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靠近输出镜的光束的束腰、发散角、光腰位置信息</w:t>
                  </w:r>
                </w:p>
              </w:tc>
            </w:tr>
            <w:tr w14:paraId="2DDD3F9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exact"/>
              </w:trPr>
              <w:tc>
                <w:tcPr>
                  <w:tcW w:w="2868" w:type="dxa"/>
                  <w:vAlign w:val="center"/>
                </w:tcPr>
                <w:p w14:paraId="696DB73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FlagRez</w:t>
                  </w:r>
                </w:p>
              </w:tc>
              <w:tc>
                <w:tcPr>
                  <w:tcW w:w="5450" w:type="dxa"/>
                  <w:vAlign w:val="center"/>
                </w:tcPr>
                <w:p w14:paraId="5585E401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center"/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 w:val="0"/>
                      <w:bCs w:val="0"/>
                      <w:i w:val="0"/>
                      <w:iCs w:val="0"/>
                      <w:color w:val="000000" w:themeColor="text1"/>
                      <w:kern w:val="0"/>
                      <w:sz w:val="21"/>
                      <w:szCs w:val="21"/>
                      <w:lang w:val="en-US" w:eastAsia="zh-CN" w:bidi="ar"/>
                      <w14:textFill>
                        <w14:solidFill>
                          <w14:schemeClr w14:val="tx1"/>
                        </w14:solidFill>
                      </w14:textFill>
                    </w:rPr>
                    <w:t>谐振腔的标志信息</w:t>
                  </w:r>
                </w:p>
              </w:tc>
            </w:tr>
          </w:tbl>
          <w:p w14:paraId="194526EE">
            <w:pPr>
              <w:numPr>
                <w:ilvl w:val="0"/>
                <w:numId w:val="0"/>
              </w:numPr>
              <w:rPr>
                <w:rFonts w:hint="default" w:ascii="Times New Roman" w:hAnsi="Times New Roman" w:eastAsia="楷体" w:cs="Times New Roman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76A24258">
      <w:pPr>
        <w:rPr>
          <w:rFonts w:hint="default" w:ascii="Times New Roman" w:hAnsi="Times New Roman" w:eastAsia="宋体" w:cs="Times New Roman"/>
          <w:b/>
          <w:color w:val="000000" w:themeColor="text1"/>
          <w:kern w:val="44"/>
          <w:sz w:val="4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45" w:name="_Toc31088"/>
      <w:r>
        <w:rPr>
          <w:rFonts w:hint="default" w:ascii="Times New Roman" w:hAnsi="Times New Roman" w:eastAsia="宋体" w:cs="Times New Roman"/>
          <w:b/>
          <w:color w:val="000000" w:themeColor="text1"/>
          <w:kern w:val="44"/>
          <w:sz w:val="4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br w:type="page"/>
      </w:r>
    </w:p>
    <w:p w14:paraId="1B6F481F">
      <w:pPr>
        <w:pStyle w:val="2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46" w:name="_Toc24281"/>
      <w:r>
        <w:rPr>
          <w:rFonts w:hint="default" w:ascii="Times New Roman" w:hAnsi="Times New Roman" w:eastAsia="宋体" w:cs="Times New Roman"/>
          <w:b/>
          <w:color w:val="000000" w:themeColor="text1"/>
          <w:kern w:val="44"/>
          <w:sz w:val="4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第四部分 </w:t>
      </w:r>
      <w:bookmarkEnd w:id="45"/>
      <w:r>
        <w:rPr>
          <w:rFonts w:hint="default" w:ascii="Times New Roman" w:hAnsi="Times New Roman" w:eastAsia="宋体" w:cs="Times New Roman"/>
          <w:b/>
          <w:color w:val="000000" w:themeColor="text1"/>
          <w:kern w:val="44"/>
          <w:sz w:val="4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总结与致谢</w:t>
      </w:r>
      <w:bookmarkEnd w:id="46"/>
    </w:p>
    <w:p w14:paraId="615CF898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文章描述了</w:t>
      </w:r>
      <w:r>
        <w:rPr>
          <w:rFonts w:hint="eastAsia" w:hAnsi="Times New Roman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ABCDRez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代码包的基础理论、功能及应用，读者可以适当修改以适应实际需求。本人对非稳腔涉猎不足，</w:t>
      </w:r>
      <w:r>
        <w:rPr>
          <w:rFonts w:hint="eastAsia" w:hAnsi="Times New Roman" w:cs="Times New Roman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ABCDRez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代码包中并未涉及非稳腔</w:t>
      </w:r>
      <w:r>
        <w:rPr>
          <w:rFonts w:hint="eastAsia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（Unstable Resonator）</w:t>
      </w: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的设计与应用。</w:t>
      </w:r>
    </w:p>
    <w:p w14:paraId="51613CA8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行笔匆匆，难免纰漏与错误，望请批评指证！</w:t>
      </w:r>
    </w:p>
    <w:p w14:paraId="1A678435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如果读者有更多关于非稳腔的知识也欢迎共同交流学习！</w:t>
      </w:r>
    </w:p>
    <w:p w14:paraId="51D42037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在此感谢前辈们的辛勤劳动所取的成果！</w:t>
      </w:r>
    </w:p>
    <w:p w14:paraId="72849003">
      <w:pPr>
        <w:ind w:firstLine="420" w:firstLineChars="0"/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在此感谢读者的阅读，希望文章对你有所帮助！</w:t>
      </w:r>
    </w:p>
    <w:p w14:paraId="303F9B13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21DAF9E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3335179">
      <w:pPr>
        <w:rPr>
          <w:rFonts w:hint="default" w:ascii="Times New Roman" w:hAnsi="Times New Roman" w:eastAsia="宋体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32759AA9">
      <w:pPr>
        <w:keepNext w:val="0"/>
        <w:keepLines w:val="0"/>
        <w:widowControl/>
        <w:suppressLineNumbers w:val="0"/>
        <w:shd w:val="clear" w:fill="FFFFFF"/>
        <w:spacing w:before="0" w:beforeAutospacing="0" w:after="294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"https://blog.csdn.net/qq_42712244/article/details/140344570" \t "https://zhuanlan.zhihu.com/p/708327493/_blank"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文档阅读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 w14:paraId="1FFC0AAF">
      <w:pPr>
        <w:keepNext w:val="0"/>
        <w:keepLines w:val="0"/>
        <w:widowControl/>
        <w:suppressLineNumbers w:val="0"/>
        <w:shd w:val="clear" w:fill="FFFFFF"/>
        <w:spacing w:before="0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"https://blog.csdn.net/qq_42712244/article/details/140344570" \t "https://zhuanlan.zhihu.com/p/708327493/_blank"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激光光束传输与谐振腔仿真ABCDRez-CSDN博客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 w14:paraId="6FA90350">
      <w:pPr>
        <w:keepNext w:val="0"/>
        <w:keepLines w:val="0"/>
        <w:widowControl/>
        <w:suppressLineNumbers w:val="0"/>
        <w:shd w:val="clear" w:fill="FFFFFF"/>
        <w:spacing w:before="0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"https://download.csdn.net/download/qq_42712244/89533054?spm=1001.2014.3001.5501" \t "https://zhuanlan.zhihu.com/p/708327493/_blank"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文件下载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 w14:paraId="20C342B8">
      <w:pPr>
        <w:widowControl w:val="0"/>
        <w:numPr>
          <w:ilvl w:val="0"/>
          <w:numId w:val="0"/>
        </w:numPr>
        <w:jc w:val="both"/>
        <w:rPr>
          <w:rStyle w:val="16"/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"https://download.csdn.net/download/qq_42712244/89533054?spm=1001.2014.3001.5501"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</w:rPr>
        <w:t>https://download.csdn.net/download/qq_42712244/89533054?spm=1001.2014.3001.5501</w:t>
      </w:r>
    </w:p>
    <w:p w14:paraId="3034C5F2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%% 版本信息</w:t>
      </w:r>
    </w:p>
    <w:p w14:paraId="35995B6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 作者:                Quincy Howard</w:t>
      </w:r>
    </w:p>
    <w:p w14:paraId="47941B3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 联系方</w:t>
      </w:r>
      <w:r>
        <w:rPr>
          <w:rFonts w:hint="eastAsia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式</w:t>
      </w: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：           quincy.hd@qq.com</w:t>
      </w:r>
    </w:p>
    <w:p w14:paraId="652E8E7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 文件信息更新平台为   matlab云文件、GitHub、CSDN博客、知乎</w:t>
      </w:r>
    </w:p>
    <w:p w14:paraId="570F7F0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 若使用请注明来源</w:t>
      </w:r>
    </w:p>
    <w:p w14:paraId="332CE0D4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% 最后编辑于           2024 年 07 月 10 日</w:t>
      </w: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  <w:embedRegular r:id="rId1" w:fontKey="{C40E10EA-137A-4707-90E8-AEB8F7055C2F}"/>
  </w:font>
  <w:font w:name="汉仪帅线体简">
    <w:panose1 w:val="00020600040101010101"/>
    <w:charset w:val="86"/>
    <w:family w:val="auto"/>
    <w:pitch w:val="default"/>
    <w:sig w:usb0="A00002BF" w:usb1="1ACF7CFA" w:usb2="00000016" w:usb3="00000000" w:csb0="0004009F" w:csb1="DFD70000"/>
    <w:embedRegular r:id="rId2" w:fontKey="{AF55F3D8-2380-401C-B61D-5D2FF4C04B3B}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  <w:embedRegular r:id="rId3" w:fontKey="{7A4A5C09-CF56-4BA4-AA02-FB3F63319372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11806E8B-0235-479C-BA50-B0A5C1587035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5" w:fontKey="{F318A163-3595-48FE-987E-9AD4181D43F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D86047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08D39C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FB6878">
                          <w:pPr>
                            <w:pStyle w:val="8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=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instrText xml:space="preserve">NUMPAGES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32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-3</w:instrText>
                          </w:r>
                          <w:r>
                            <w:instrText xml:space="preserve">  \* MERGEFORMAT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g6Gf4zAgAAYwQAAA4AAABkcnMvZTJvRG9jLnhtbK1UzY7TMBC+I/EO&#10;lu80aYFV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Hg6Gf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FB6878">
                    <w:pPr>
                      <w:pStyle w:val="8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=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instrText xml:space="preserve">NUMPAGES</w:instrText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32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-3</w:instrText>
                    </w:r>
                    <w:r>
                      <w:instrText xml:space="preserve">  \* MERGEFORMAT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968D1D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D42A27"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5D52C7">
    <w:pPr>
      <w:pStyle w:val="9"/>
      <w:pBdr>
        <w:bottom w:val="single" w:color="auto" w:sz="4" w:space="1"/>
      </w:pBdr>
      <w:jc w:val="center"/>
      <w:rPr>
        <w:rFonts w:hint="eastAsia" w:ascii="楷体" w:hAnsi="楷体" w:eastAsia="楷体" w:cs="楷体"/>
        <w:sz w:val="28"/>
        <w:szCs w:val="28"/>
        <w:lang w:eastAsia="zh-CN"/>
      </w:rPr>
    </w:pPr>
    <w:r>
      <w:rPr>
        <w:rFonts w:hint="eastAsia" w:ascii="楷体" w:hAnsi="楷体" w:eastAsia="楷体" w:cs="楷体"/>
        <w:sz w:val="28"/>
        <w:szCs w:val="28"/>
        <w:lang w:eastAsia="zh-CN"/>
      </w:rPr>
      <w:fldChar w:fldCharType="begin"/>
    </w:r>
    <w:r>
      <w:rPr>
        <w:rFonts w:hint="eastAsia" w:ascii="楷体" w:hAnsi="楷体" w:eastAsia="楷体" w:cs="楷体"/>
        <w:sz w:val="28"/>
        <w:szCs w:val="28"/>
        <w:lang w:eastAsia="zh-CN"/>
      </w:rPr>
      <w:instrText xml:space="preserve"> STYLEREF "标题 1"  \* MERGEFORMAT </w:instrText>
    </w:r>
    <w:r>
      <w:rPr>
        <w:rFonts w:hint="eastAsia" w:ascii="楷体" w:hAnsi="楷体" w:eastAsia="楷体" w:cs="楷体"/>
        <w:sz w:val="28"/>
        <w:szCs w:val="28"/>
        <w:lang w:eastAsia="zh-CN"/>
      </w:rPr>
      <w:fldChar w:fldCharType="separate"/>
    </w:r>
    <w:r>
      <w:rPr>
        <w:rFonts w:hint="eastAsia" w:ascii="楷体" w:hAnsi="楷体" w:eastAsia="楷体" w:cs="楷体"/>
        <w:sz w:val="28"/>
        <w:szCs w:val="28"/>
        <w:lang w:eastAsia="zh-CN"/>
      </w:rPr>
      <w:t>第二部分 基础</w:t>
    </w:r>
    <w:r>
      <w:rPr>
        <w:rFonts w:hint="eastAsia" w:ascii="楷体" w:hAnsi="楷体" w:eastAsia="楷体" w:cs="楷体"/>
        <w:sz w:val="28"/>
        <w:szCs w:val="28"/>
        <w:lang w:eastAsia="zh-CN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9218DE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EE1FF6"/>
    <w:multiLevelType w:val="singleLevel"/>
    <w:tmpl w:val="DBEE1FF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0230623"/>
    <w:multiLevelType w:val="singleLevel"/>
    <w:tmpl w:val="10230623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saveSubsetFonts/>
  <w:bordersDoNotSurroundHeader w:val="0"/>
  <w:bordersDoNotSurroundFooter w:val="0"/>
  <w:documentProtection w:edit="readOnly"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diY2U2OWI1ZGU0MDk0MDE1MjFmZDNiM2Q5Nzk4YTkifQ=="/>
  </w:docVars>
  <w:rsids>
    <w:rsidRoot w:val="00000000"/>
    <w:rsid w:val="0053518A"/>
    <w:rsid w:val="00702588"/>
    <w:rsid w:val="008953F8"/>
    <w:rsid w:val="01203FAE"/>
    <w:rsid w:val="0147778C"/>
    <w:rsid w:val="014A2DD9"/>
    <w:rsid w:val="014D4677"/>
    <w:rsid w:val="02445A7A"/>
    <w:rsid w:val="02532161"/>
    <w:rsid w:val="02DA4630"/>
    <w:rsid w:val="02EC793D"/>
    <w:rsid w:val="02F079B0"/>
    <w:rsid w:val="030E0AC0"/>
    <w:rsid w:val="03123DCA"/>
    <w:rsid w:val="04197BD5"/>
    <w:rsid w:val="04651CD8"/>
    <w:rsid w:val="04A62A1C"/>
    <w:rsid w:val="04B0613C"/>
    <w:rsid w:val="051D2378"/>
    <w:rsid w:val="0559183C"/>
    <w:rsid w:val="05663F59"/>
    <w:rsid w:val="05ED01D7"/>
    <w:rsid w:val="06287461"/>
    <w:rsid w:val="06E84FF7"/>
    <w:rsid w:val="07416A2C"/>
    <w:rsid w:val="08692F50"/>
    <w:rsid w:val="086D2D58"/>
    <w:rsid w:val="08986B20"/>
    <w:rsid w:val="08C72F61"/>
    <w:rsid w:val="08CB2A51"/>
    <w:rsid w:val="08EE6740"/>
    <w:rsid w:val="0A632F93"/>
    <w:rsid w:val="0A650C83"/>
    <w:rsid w:val="0AAC4C63"/>
    <w:rsid w:val="0AEE6ECB"/>
    <w:rsid w:val="0AF0679F"/>
    <w:rsid w:val="0B394EF8"/>
    <w:rsid w:val="0B512FB6"/>
    <w:rsid w:val="0B5331D2"/>
    <w:rsid w:val="0B6D0753"/>
    <w:rsid w:val="0B6E386B"/>
    <w:rsid w:val="0C185365"/>
    <w:rsid w:val="0C5B40EC"/>
    <w:rsid w:val="0D1A3C63"/>
    <w:rsid w:val="0D4508F8"/>
    <w:rsid w:val="0DC67C8B"/>
    <w:rsid w:val="0E341099"/>
    <w:rsid w:val="0E7923AD"/>
    <w:rsid w:val="0FCE2E27"/>
    <w:rsid w:val="100F3B6B"/>
    <w:rsid w:val="10134CDE"/>
    <w:rsid w:val="10352EA6"/>
    <w:rsid w:val="104646DE"/>
    <w:rsid w:val="10686DD7"/>
    <w:rsid w:val="10AF0EAA"/>
    <w:rsid w:val="10E24DDC"/>
    <w:rsid w:val="10ED3781"/>
    <w:rsid w:val="10FB621F"/>
    <w:rsid w:val="11186A50"/>
    <w:rsid w:val="115F467E"/>
    <w:rsid w:val="117A5014"/>
    <w:rsid w:val="11884C9E"/>
    <w:rsid w:val="11E701D0"/>
    <w:rsid w:val="11E83C98"/>
    <w:rsid w:val="11E83CE9"/>
    <w:rsid w:val="12217B86"/>
    <w:rsid w:val="12A54313"/>
    <w:rsid w:val="13053004"/>
    <w:rsid w:val="132E0DA8"/>
    <w:rsid w:val="134A0A16"/>
    <w:rsid w:val="138F0BDD"/>
    <w:rsid w:val="1398113A"/>
    <w:rsid w:val="141379A2"/>
    <w:rsid w:val="146F2E2A"/>
    <w:rsid w:val="147A6015"/>
    <w:rsid w:val="155A2216"/>
    <w:rsid w:val="15883A78"/>
    <w:rsid w:val="15EB0477"/>
    <w:rsid w:val="160E0421"/>
    <w:rsid w:val="163B2B11"/>
    <w:rsid w:val="171B1048"/>
    <w:rsid w:val="176E561B"/>
    <w:rsid w:val="17992095"/>
    <w:rsid w:val="17A0779F"/>
    <w:rsid w:val="17A32DEB"/>
    <w:rsid w:val="18055854"/>
    <w:rsid w:val="18143527"/>
    <w:rsid w:val="18221F62"/>
    <w:rsid w:val="18561C0B"/>
    <w:rsid w:val="185632CE"/>
    <w:rsid w:val="18702F09"/>
    <w:rsid w:val="18B54B84"/>
    <w:rsid w:val="18DC0363"/>
    <w:rsid w:val="19DC4392"/>
    <w:rsid w:val="1A4A57A0"/>
    <w:rsid w:val="1B09565B"/>
    <w:rsid w:val="1B7927E1"/>
    <w:rsid w:val="1BE13EE2"/>
    <w:rsid w:val="1BF260EF"/>
    <w:rsid w:val="1C2F4C4D"/>
    <w:rsid w:val="1C96240C"/>
    <w:rsid w:val="1CBB0BFB"/>
    <w:rsid w:val="1CCF6B59"/>
    <w:rsid w:val="1CD6156D"/>
    <w:rsid w:val="1CFE11EF"/>
    <w:rsid w:val="1D4330A6"/>
    <w:rsid w:val="1E0A7720"/>
    <w:rsid w:val="1E601A36"/>
    <w:rsid w:val="1E7554E1"/>
    <w:rsid w:val="1EE75CB3"/>
    <w:rsid w:val="1F1B7C1B"/>
    <w:rsid w:val="1FE46179"/>
    <w:rsid w:val="2004280F"/>
    <w:rsid w:val="206C46C2"/>
    <w:rsid w:val="20745325"/>
    <w:rsid w:val="20DD2ECA"/>
    <w:rsid w:val="212705E9"/>
    <w:rsid w:val="21507B40"/>
    <w:rsid w:val="22124DF5"/>
    <w:rsid w:val="22405E06"/>
    <w:rsid w:val="229B4C02"/>
    <w:rsid w:val="22BD2FB3"/>
    <w:rsid w:val="24062738"/>
    <w:rsid w:val="243279D1"/>
    <w:rsid w:val="24547947"/>
    <w:rsid w:val="246F0D79"/>
    <w:rsid w:val="247022A7"/>
    <w:rsid w:val="24F20F0E"/>
    <w:rsid w:val="25317C88"/>
    <w:rsid w:val="256535B5"/>
    <w:rsid w:val="2580476C"/>
    <w:rsid w:val="25E7048C"/>
    <w:rsid w:val="26CC2DED"/>
    <w:rsid w:val="26FE2008"/>
    <w:rsid w:val="27964593"/>
    <w:rsid w:val="27AE55C0"/>
    <w:rsid w:val="280414D2"/>
    <w:rsid w:val="28151969"/>
    <w:rsid w:val="29325D7D"/>
    <w:rsid w:val="29763DAA"/>
    <w:rsid w:val="2A443FBA"/>
    <w:rsid w:val="2A585CB7"/>
    <w:rsid w:val="2ABF4689"/>
    <w:rsid w:val="2AF95CCD"/>
    <w:rsid w:val="2B8A1EA0"/>
    <w:rsid w:val="2BE315B0"/>
    <w:rsid w:val="2BEA293F"/>
    <w:rsid w:val="2BFF463C"/>
    <w:rsid w:val="2C206CAE"/>
    <w:rsid w:val="2C283A81"/>
    <w:rsid w:val="2C387B4E"/>
    <w:rsid w:val="2C7F39CF"/>
    <w:rsid w:val="2CB90C8F"/>
    <w:rsid w:val="2CEA5340"/>
    <w:rsid w:val="2D047A30"/>
    <w:rsid w:val="2DC617CE"/>
    <w:rsid w:val="2E5A3DAC"/>
    <w:rsid w:val="2EE316FC"/>
    <w:rsid w:val="2EF04710"/>
    <w:rsid w:val="2F5E78CC"/>
    <w:rsid w:val="2FB92D54"/>
    <w:rsid w:val="2FC00586"/>
    <w:rsid w:val="30136908"/>
    <w:rsid w:val="3014442E"/>
    <w:rsid w:val="30281C88"/>
    <w:rsid w:val="305D7B83"/>
    <w:rsid w:val="308415B4"/>
    <w:rsid w:val="3171374E"/>
    <w:rsid w:val="318178A1"/>
    <w:rsid w:val="31D85FEC"/>
    <w:rsid w:val="31EE260E"/>
    <w:rsid w:val="323B2146"/>
    <w:rsid w:val="324F174E"/>
    <w:rsid w:val="328F27A5"/>
    <w:rsid w:val="33320403"/>
    <w:rsid w:val="339B401C"/>
    <w:rsid w:val="33CB56DD"/>
    <w:rsid w:val="33F702EF"/>
    <w:rsid w:val="340E7492"/>
    <w:rsid w:val="34907DDF"/>
    <w:rsid w:val="34AC2E87"/>
    <w:rsid w:val="356B2D42"/>
    <w:rsid w:val="359A3628"/>
    <w:rsid w:val="35A46254"/>
    <w:rsid w:val="36127662"/>
    <w:rsid w:val="36146F36"/>
    <w:rsid w:val="36156CDA"/>
    <w:rsid w:val="363F3301"/>
    <w:rsid w:val="36DD557A"/>
    <w:rsid w:val="37691503"/>
    <w:rsid w:val="376E2676"/>
    <w:rsid w:val="37C329C2"/>
    <w:rsid w:val="38613F89"/>
    <w:rsid w:val="38EE1CC0"/>
    <w:rsid w:val="39094D4C"/>
    <w:rsid w:val="39500691"/>
    <w:rsid w:val="3A145757"/>
    <w:rsid w:val="3A3C6A5B"/>
    <w:rsid w:val="3A3E0A25"/>
    <w:rsid w:val="3AB23981"/>
    <w:rsid w:val="3AF70BEE"/>
    <w:rsid w:val="3AF9494C"/>
    <w:rsid w:val="3B2D1219"/>
    <w:rsid w:val="3B4C0F20"/>
    <w:rsid w:val="3BFF41E4"/>
    <w:rsid w:val="3BFF5F92"/>
    <w:rsid w:val="3C065573"/>
    <w:rsid w:val="3C4F6F1A"/>
    <w:rsid w:val="3C7A386B"/>
    <w:rsid w:val="3CCA65A0"/>
    <w:rsid w:val="3D164CBE"/>
    <w:rsid w:val="3DDB5E32"/>
    <w:rsid w:val="3DDB658B"/>
    <w:rsid w:val="3E151A9D"/>
    <w:rsid w:val="3E2B7513"/>
    <w:rsid w:val="3E4C4F04"/>
    <w:rsid w:val="3F980BD8"/>
    <w:rsid w:val="3F9D1D4A"/>
    <w:rsid w:val="3FA806EF"/>
    <w:rsid w:val="3FEF631E"/>
    <w:rsid w:val="3FF322B2"/>
    <w:rsid w:val="40050825"/>
    <w:rsid w:val="40330901"/>
    <w:rsid w:val="40452EED"/>
    <w:rsid w:val="40DB376D"/>
    <w:rsid w:val="40E63BC5"/>
    <w:rsid w:val="410F0A26"/>
    <w:rsid w:val="413A7459"/>
    <w:rsid w:val="414D59F2"/>
    <w:rsid w:val="41852AAA"/>
    <w:rsid w:val="419B6A3A"/>
    <w:rsid w:val="419F2700"/>
    <w:rsid w:val="41B200EE"/>
    <w:rsid w:val="42154762"/>
    <w:rsid w:val="423170C2"/>
    <w:rsid w:val="425A3F23"/>
    <w:rsid w:val="42EB54C2"/>
    <w:rsid w:val="43185522"/>
    <w:rsid w:val="43426E95"/>
    <w:rsid w:val="444035EC"/>
    <w:rsid w:val="445350CD"/>
    <w:rsid w:val="449F47B6"/>
    <w:rsid w:val="45294080"/>
    <w:rsid w:val="452A0524"/>
    <w:rsid w:val="45905EAD"/>
    <w:rsid w:val="45B61DB8"/>
    <w:rsid w:val="461D6E44"/>
    <w:rsid w:val="461F3D43"/>
    <w:rsid w:val="46256F3D"/>
    <w:rsid w:val="46B1432D"/>
    <w:rsid w:val="47423D94"/>
    <w:rsid w:val="474451A1"/>
    <w:rsid w:val="478F466E"/>
    <w:rsid w:val="47F170D7"/>
    <w:rsid w:val="47F70704"/>
    <w:rsid w:val="48541414"/>
    <w:rsid w:val="485C75C0"/>
    <w:rsid w:val="486A36AE"/>
    <w:rsid w:val="49351245"/>
    <w:rsid w:val="49575660"/>
    <w:rsid w:val="49E62540"/>
    <w:rsid w:val="49FB423D"/>
    <w:rsid w:val="4A985F30"/>
    <w:rsid w:val="4AF448ED"/>
    <w:rsid w:val="4B103D18"/>
    <w:rsid w:val="4B4323A3"/>
    <w:rsid w:val="4BA803F5"/>
    <w:rsid w:val="4BD71B82"/>
    <w:rsid w:val="4C0B44E0"/>
    <w:rsid w:val="4C207F8B"/>
    <w:rsid w:val="4C2264E4"/>
    <w:rsid w:val="4C5572CB"/>
    <w:rsid w:val="4C8D2797"/>
    <w:rsid w:val="4C910E89"/>
    <w:rsid w:val="4C912C37"/>
    <w:rsid w:val="4CC76658"/>
    <w:rsid w:val="4CCF375F"/>
    <w:rsid w:val="4CD15729"/>
    <w:rsid w:val="4CF67086"/>
    <w:rsid w:val="4D685C05"/>
    <w:rsid w:val="4DE60D60"/>
    <w:rsid w:val="4E6D76D3"/>
    <w:rsid w:val="4F1F09CE"/>
    <w:rsid w:val="4F6A776F"/>
    <w:rsid w:val="4FCE4FFE"/>
    <w:rsid w:val="505457E1"/>
    <w:rsid w:val="51114346"/>
    <w:rsid w:val="51716DAE"/>
    <w:rsid w:val="51EE6435"/>
    <w:rsid w:val="52377DDC"/>
    <w:rsid w:val="530C2A82"/>
    <w:rsid w:val="53986FA1"/>
    <w:rsid w:val="540C7047"/>
    <w:rsid w:val="54260108"/>
    <w:rsid w:val="54420CBA"/>
    <w:rsid w:val="54694499"/>
    <w:rsid w:val="549A4A45"/>
    <w:rsid w:val="54B55930"/>
    <w:rsid w:val="54B971CF"/>
    <w:rsid w:val="551B62DD"/>
    <w:rsid w:val="55990DAE"/>
    <w:rsid w:val="559A7000"/>
    <w:rsid w:val="55F36710"/>
    <w:rsid w:val="56030750"/>
    <w:rsid w:val="562763BA"/>
    <w:rsid w:val="56733C81"/>
    <w:rsid w:val="56AB6FEB"/>
    <w:rsid w:val="57332714"/>
    <w:rsid w:val="58247055"/>
    <w:rsid w:val="596C0CB3"/>
    <w:rsid w:val="59741916"/>
    <w:rsid w:val="59BB12F3"/>
    <w:rsid w:val="59FE5684"/>
    <w:rsid w:val="5A2A46CB"/>
    <w:rsid w:val="5A497F79"/>
    <w:rsid w:val="5A8D7133"/>
    <w:rsid w:val="5A902780"/>
    <w:rsid w:val="5AEB3DFC"/>
    <w:rsid w:val="5B1A36D7"/>
    <w:rsid w:val="5B6634E0"/>
    <w:rsid w:val="5C163158"/>
    <w:rsid w:val="5C9A1694"/>
    <w:rsid w:val="5DDE7CA6"/>
    <w:rsid w:val="5DE132F2"/>
    <w:rsid w:val="5E0F68D8"/>
    <w:rsid w:val="5EAE1426"/>
    <w:rsid w:val="5ED62448"/>
    <w:rsid w:val="5EEC5FAD"/>
    <w:rsid w:val="5EF86B45"/>
    <w:rsid w:val="5F13572D"/>
    <w:rsid w:val="5F28567D"/>
    <w:rsid w:val="5F3202A9"/>
    <w:rsid w:val="5F9F62E3"/>
    <w:rsid w:val="5FA8056B"/>
    <w:rsid w:val="5FA840C8"/>
    <w:rsid w:val="5FDE21DF"/>
    <w:rsid w:val="5FE33352"/>
    <w:rsid w:val="61B2747F"/>
    <w:rsid w:val="61ED04B8"/>
    <w:rsid w:val="624A5CB4"/>
    <w:rsid w:val="624F2F20"/>
    <w:rsid w:val="62E95123"/>
    <w:rsid w:val="62EF025F"/>
    <w:rsid w:val="63585E05"/>
    <w:rsid w:val="638A391D"/>
    <w:rsid w:val="63AB4186"/>
    <w:rsid w:val="63C94F54"/>
    <w:rsid w:val="64047D3A"/>
    <w:rsid w:val="64517525"/>
    <w:rsid w:val="64A2619E"/>
    <w:rsid w:val="64E75692"/>
    <w:rsid w:val="650761F2"/>
    <w:rsid w:val="6530528B"/>
    <w:rsid w:val="65640A91"/>
    <w:rsid w:val="65956E9C"/>
    <w:rsid w:val="65BC6B1F"/>
    <w:rsid w:val="65EB7404"/>
    <w:rsid w:val="6618187B"/>
    <w:rsid w:val="662F6CD4"/>
    <w:rsid w:val="66456B14"/>
    <w:rsid w:val="664A412A"/>
    <w:rsid w:val="673B23EA"/>
    <w:rsid w:val="677C5030"/>
    <w:rsid w:val="6787315C"/>
    <w:rsid w:val="681349F0"/>
    <w:rsid w:val="68330BEE"/>
    <w:rsid w:val="684E5A85"/>
    <w:rsid w:val="687731D1"/>
    <w:rsid w:val="68D02BEC"/>
    <w:rsid w:val="68D26659"/>
    <w:rsid w:val="68EF4A6A"/>
    <w:rsid w:val="69B31FE7"/>
    <w:rsid w:val="69D34437"/>
    <w:rsid w:val="69DF102E"/>
    <w:rsid w:val="6B730DC3"/>
    <w:rsid w:val="6B9704D3"/>
    <w:rsid w:val="6B9B1E95"/>
    <w:rsid w:val="6BCB6A23"/>
    <w:rsid w:val="6CAB24CC"/>
    <w:rsid w:val="6CB322FE"/>
    <w:rsid w:val="6CC92321"/>
    <w:rsid w:val="6D4D62AE"/>
    <w:rsid w:val="6D54588F"/>
    <w:rsid w:val="6D592EA5"/>
    <w:rsid w:val="6E205940"/>
    <w:rsid w:val="6ED21161"/>
    <w:rsid w:val="6F103A37"/>
    <w:rsid w:val="6FBE3C8B"/>
    <w:rsid w:val="6FEB5A7E"/>
    <w:rsid w:val="70904E30"/>
    <w:rsid w:val="71B40089"/>
    <w:rsid w:val="71CF7BDA"/>
    <w:rsid w:val="71ED1C76"/>
    <w:rsid w:val="72007D93"/>
    <w:rsid w:val="720A29C0"/>
    <w:rsid w:val="72181581"/>
    <w:rsid w:val="72323249"/>
    <w:rsid w:val="72AC1CC9"/>
    <w:rsid w:val="730D09BA"/>
    <w:rsid w:val="73625DA4"/>
    <w:rsid w:val="74116287"/>
    <w:rsid w:val="74412F02"/>
    <w:rsid w:val="747616A0"/>
    <w:rsid w:val="74E76FE8"/>
    <w:rsid w:val="74EC2851"/>
    <w:rsid w:val="75850DC3"/>
    <w:rsid w:val="75866801"/>
    <w:rsid w:val="758F11D3"/>
    <w:rsid w:val="758F1B5A"/>
    <w:rsid w:val="75BA64AB"/>
    <w:rsid w:val="760A11E0"/>
    <w:rsid w:val="7621652A"/>
    <w:rsid w:val="764B35A7"/>
    <w:rsid w:val="766A6123"/>
    <w:rsid w:val="77B75398"/>
    <w:rsid w:val="77F80F29"/>
    <w:rsid w:val="78076DCF"/>
    <w:rsid w:val="788D434B"/>
    <w:rsid w:val="78995919"/>
    <w:rsid w:val="78B546D0"/>
    <w:rsid w:val="790F4D60"/>
    <w:rsid w:val="79F91C98"/>
    <w:rsid w:val="7A4B7B19"/>
    <w:rsid w:val="7A5A025C"/>
    <w:rsid w:val="7A9B4AFD"/>
    <w:rsid w:val="7AC11659"/>
    <w:rsid w:val="7B114DBF"/>
    <w:rsid w:val="7B503B39"/>
    <w:rsid w:val="7B98728E"/>
    <w:rsid w:val="7C4E0170"/>
    <w:rsid w:val="7D702608"/>
    <w:rsid w:val="7DA55C93"/>
    <w:rsid w:val="7DE92023"/>
    <w:rsid w:val="7DEE13E8"/>
    <w:rsid w:val="7EBC14E6"/>
    <w:rsid w:val="7FF6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numPr>
        <w:ilvl w:val="0"/>
        <w:numId w:val="0"/>
      </w:numPr>
      <w:ind w:left="0" w:leftChars="0" w:firstLine="0" w:firstLineChars="0"/>
      <w:jc w:val="both"/>
    </w:pPr>
    <w:rPr>
      <w:rFonts w:ascii="Times New Roman" w:hAnsi="Cambria Math" w:eastAsia="宋体" w:cs="Times New Roman"/>
      <w:kern w:val="2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autoRedefine/>
    <w:semiHidden/>
    <w:qFormat/>
    <w:uiPriority w:val="0"/>
  </w:style>
  <w:style w:type="table" w:default="1" w:styleId="1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7406</Words>
  <Characters>10536</Characters>
  <Lines>0</Lines>
  <Paragraphs>0</Paragraphs>
  <TotalTime>768</TotalTime>
  <ScaleCrop>false</ScaleCrop>
  <LinksUpToDate>false</LinksUpToDate>
  <CharactersWithSpaces>10909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2024-04-11T07:07:00Z</dcterms:created>
  <dc:creator>QuincyHoward</dc:creator>
  <cp:lastModifiedBy>Quick</cp:lastModifiedBy>
  <dcterms:modified xsi:type="dcterms:W3CDTF">2024-07-20T03:58:24Z</dcterms:modified>
  <dc:subject>laser beam 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CEC16F809A1E457E9FB59B53F5ADC94F_13</vt:lpwstr>
  </property>
  <property fmtid="{D5CDD505-2E9C-101B-9397-08002B2CF9AE}" pid="4" name="完成日期">
    <vt:lpwstr>20240710</vt:lpwstr>
  </property>
  <property fmtid="{D5CDD505-2E9C-101B-9397-08002B2CF9AE}" pid="5" name="所有者">
    <vt:lpwstr>QuincyHoward</vt:lpwstr>
  </property>
  <property fmtid="{D5CDD505-2E9C-101B-9397-08002B2CF9AE}" pid="6" name="邮局">
    <vt:lpwstr>quincy.hd@qq.com</vt:lpwstr>
  </property>
</Properties>
</file>