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6C" w:rsidRDefault="00D74CAF">
      <w:pPr>
        <w:jc w:val="center"/>
        <w:rPr>
          <w:rFonts w:ascii="Century" w:hAnsi="Century"/>
          <w:b/>
          <w:bCs/>
          <w:sz w:val="40"/>
          <w:szCs w:val="40"/>
        </w:rPr>
      </w:pPr>
      <w:proofErr w:type="spellStart"/>
      <w:r>
        <w:rPr>
          <w:rFonts w:ascii="Century" w:hAnsi="Century"/>
          <w:b/>
          <w:bCs/>
          <w:sz w:val="40"/>
          <w:szCs w:val="40"/>
        </w:rPr>
        <w:t>Multicolinéarité</w:t>
      </w:r>
      <w:proofErr w:type="spellEnd"/>
      <w:r>
        <w:rPr>
          <w:rFonts w:ascii="Century" w:hAnsi="Century"/>
          <w:b/>
          <w:bCs/>
          <w:sz w:val="40"/>
          <w:szCs w:val="40"/>
        </w:rPr>
        <w:t xml:space="preserve"> et régression PLS</w:t>
      </w:r>
      <w:r w:rsidR="007E2C34">
        <w:rPr>
          <w:rFonts w:ascii="Century" w:hAnsi="Century"/>
          <w:b/>
          <w:bCs/>
          <w:sz w:val="40"/>
          <w:szCs w:val="40"/>
        </w:rPr>
        <w:t xml:space="preserve"> : </w:t>
      </w:r>
    </w:p>
    <w:p w:rsidR="0020116C" w:rsidRDefault="007E2C34">
      <w:pPr>
        <w:jc w:val="center"/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t>Théorie et applications</w:t>
      </w:r>
    </w:p>
    <w:p w:rsidR="0020116C" w:rsidRPr="001A3EFD" w:rsidRDefault="0020116C">
      <w:pPr>
        <w:jc w:val="center"/>
        <w:rPr>
          <w:rFonts w:ascii="Century" w:hAnsi="Century"/>
          <w:b/>
          <w:bCs/>
          <w:sz w:val="32"/>
          <w:szCs w:val="32"/>
        </w:rPr>
      </w:pPr>
    </w:p>
    <w:p w:rsidR="0020116C" w:rsidRDefault="007E2C34">
      <w:pPr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i/>
          <w:iCs/>
          <w:sz w:val="32"/>
          <w:szCs w:val="32"/>
        </w:rPr>
        <w:t>Travaux pratiques</w:t>
      </w:r>
    </w:p>
    <w:p w:rsidR="0020116C" w:rsidRDefault="0020116C">
      <w:pPr>
        <w:rPr>
          <w:rFonts w:ascii="Century" w:hAnsi="Century"/>
        </w:rPr>
      </w:pPr>
    </w:p>
    <w:p w:rsidR="0020116C" w:rsidRDefault="0020116C">
      <w:pPr>
        <w:rPr>
          <w:rFonts w:ascii="Century" w:hAnsi="Century"/>
        </w:rPr>
      </w:pPr>
    </w:p>
    <w:p w:rsidR="00D74CAF" w:rsidRDefault="00D74CAF">
      <w:pPr>
        <w:pStyle w:val="Corpsdetexte"/>
      </w:pPr>
      <w:r>
        <w:t xml:space="preserve">L’objectif de </w:t>
      </w:r>
      <w:bookmarkStart w:id="0" w:name="_GoBack"/>
      <w:bookmarkEnd w:id="0"/>
      <w:r>
        <w:t>ce TP est d</w:t>
      </w:r>
      <w:r w:rsidR="00612F92">
        <w:t>e</w:t>
      </w:r>
      <w:r>
        <w:t xml:space="preserve"> construire </w:t>
      </w:r>
      <w:r w:rsidR="001A3EFD">
        <w:t>des</w:t>
      </w:r>
      <w:r>
        <w:t xml:space="preserve"> mo</w:t>
      </w:r>
      <w:r w:rsidR="007E2C34">
        <w:t>dèle</w:t>
      </w:r>
      <w:r>
        <w:t xml:space="preserve">s sur des données à forte </w:t>
      </w:r>
      <w:proofErr w:type="spellStart"/>
      <w:r>
        <w:t>multicolinéarité</w:t>
      </w:r>
      <w:proofErr w:type="spellEnd"/>
      <w:r w:rsidR="00AA7AC6">
        <w:t xml:space="preserve"> entre les prédicteurs.</w:t>
      </w:r>
    </w:p>
    <w:p w:rsidR="00957B1F" w:rsidRPr="00A67F9B" w:rsidRDefault="00957B1F">
      <w:pPr>
        <w:pStyle w:val="Corpsdetexte"/>
        <w:rPr>
          <w:sz w:val="16"/>
          <w:szCs w:val="16"/>
        </w:rPr>
      </w:pPr>
    </w:p>
    <w:p w:rsidR="00957B1F" w:rsidRDefault="00D74CAF" w:rsidP="00957B1F">
      <w:pPr>
        <w:pStyle w:val="Corpsdetexte"/>
      </w:pPr>
      <w:r>
        <w:t xml:space="preserve">Les </w:t>
      </w:r>
      <w:r w:rsidR="007E2C34">
        <w:t xml:space="preserve">données </w:t>
      </w:r>
      <w:r>
        <w:t xml:space="preserve">sont </w:t>
      </w:r>
      <w:r w:rsidR="007E2C34">
        <w:t xml:space="preserve">issues </w:t>
      </w:r>
      <w:r w:rsidR="00957B1F">
        <w:t xml:space="preserve">des résultats des deux tours </w:t>
      </w:r>
      <w:r w:rsidR="001A3EFD">
        <w:t xml:space="preserve">des </w:t>
      </w:r>
      <w:r w:rsidR="00957B1F">
        <w:t>é</w:t>
      </w:r>
      <w:r w:rsidR="0046599A">
        <w:t>lections présidentielles de 2017</w:t>
      </w:r>
      <w:r w:rsidR="00957B1F">
        <w:t>. L’objectif final est de modéliser les résultats du second tour, de cerner les grandes tendances, de détecter des départements atypiques ou mal reconstitués, etc.</w:t>
      </w:r>
    </w:p>
    <w:p w:rsidR="00957B1F" w:rsidRPr="00A67F9B" w:rsidRDefault="00957B1F" w:rsidP="00957B1F">
      <w:pPr>
        <w:pStyle w:val="Corpsdetexte"/>
        <w:rPr>
          <w:sz w:val="16"/>
          <w:szCs w:val="16"/>
        </w:rPr>
      </w:pPr>
    </w:p>
    <w:p w:rsidR="00AF3FEB" w:rsidRDefault="00957B1F" w:rsidP="009B7993">
      <w:pPr>
        <w:pStyle w:val="Corpsdetexte"/>
      </w:pPr>
      <w:r>
        <w:t xml:space="preserve">Le jeu de données contient 107 individus qui correspondent aux départements de la métropole, de l’outre-mer et des français à l’étranger. Les variables correspondent </w:t>
      </w:r>
      <w:r w:rsidR="00AF3FEB">
        <w:t xml:space="preserve">aux nombre d’inscrits, de votants, d’abstentions, de suffrages exprimés, </w:t>
      </w:r>
      <w:r w:rsidR="001A3EFD">
        <w:t xml:space="preserve">de </w:t>
      </w:r>
      <w:r w:rsidR="00AF3FEB">
        <w:t>bulletins blancs ou nuls pour les deux tours, de suffrages remportés par</w:t>
      </w:r>
      <w:r w:rsidR="0046599A">
        <w:t xml:space="preserve"> chacun des 11</w:t>
      </w:r>
      <w:r w:rsidR="00AF3FEB">
        <w:t xml:space="preserve"> candidats du premier tour et des deux candidats du second tour.</w:t>
      </w:r>
    </w:p>
    <w:p w:rsidR="00AF3FEB" w:rsidRDefault="00AF3FEB" w:rsidP="009B7993">
      <w:pPr>
        <w:jc w:val="both"/>
        <w:rPr>
          <w:rFonts w:ascii="Century" w:hAnsi="Century"/>
        </w:rPr>
      </w:pPr>
    </w:p>
    <w:p w:rsidR="00612F92" w:rsidRDefault="00612F92" w:rsidP="009B7993">
      <w:pPr>
        <w:jc w:val="both"/>
        <w:rPr>
          <w:rFonts w:ascii="Century" w:hAnsi="Century"/>
        </w:rPr>
      </w:pPr>
    </w:p>
    <w:p w:rsidR="0020116C" w:rsidRDefault="007E2C34">
      <w:pPr>
        <w:jc w:val="both"/>
        <w:rPr>
          <w:rFonts w:ascii="Century" w:hAnsi="Century"/>
          <w:b/>
          <w:bCs/>
        </w:rPr>
      </w:pPr>
      <w:r>
        <w:rPr>
          <w:rFonts w:ascii="Century" w:hAnsi="Century"/>
          <w:b/>
          <w:bCs/>
          <w:i/>
          <w:iCs/>
        </w:rPr>
        <w:t>Question 1</w:t>
      </w:r>
      <w:r w:rsidR="00B968AB">
        <w:rPr>
          <w:rFonts w:ascii="Century" w:hAnsi="Century"/>
          <w:b/>
          <w:bCs/>
        </w:rPr>
        <w:t> :</w:t>
      </w:r>
    </w:p>
    <w:p w:rsidR="0020116C" w:rsidRPr="00107B9F" w:rsidRDefault="0020116C">
      <w:pPr>
        <w:jc w:val="both"/>
        <w:rPr>
          <w:rFonts w:ascii="Century" w:hAnsi="Century"/>
          <w:b/>
          <w:bCs/>
          <w:sz w:val="8"/>
          <w:szCs w:val="8"/>
        </w:rPr>
      </w:pPr>
    </w:p>
    <w:p w:rsidR="0020116C" w:rsidRPr="001A3EFD" w:rsidRDefault="007E2C34" w:rsidP="001A3EFD">
      <w:pPr>
        <w:jc w:val="both"/>
        <w:rPr>
          <w:rFonts w:ascii="Century" w:hAnsi="Century"/>
        </w:rPr>
      </w:pPr>
      <w:r w:rsidRPr="001A3EFD">
        <w:rPr>
          <w:rFonts w:ascii="Century" w:hAnsi="Century"/>
        </w:rPr>
        <w:t xml:space="preserve">Explorer les données avec les statistiques descriptives </w:t>
      </w:r>
      <w:r w:rsidR="009B7993" w:rsidRPr="001A3EFD">
        <w:rPr>
          <w:rFonts w:ascii="Century" w:hAnsi="Century"/>
        </w:rPr>
        <w:t xml:space="preserve">(univariées et bivariées) </w:t>
      </w:r>
      <w:r w:rsidRPr="001A3EFD">
        <w:rPr>
          <w:rFonts w:ascii="Century" w:hAnsi="Century"/>
        </w:rPr>
        <w:t>et fournir</w:t>
      </w:r>
      <w:r w:rsidR="0012349C" w:rsidRPr="001A3EFD">
        <w:rPr>
          <w:rFonts w:ascii="Century" w:hAnsi="Century"/>
        </w:rPr>
        <w:t xml:space="preserve"> un état des lieux de celles-ci (macro %UNIV</w:t>
      </w:r>
      <w:r w:rsidR="008720FC" w:rsidRPr="001A3EFD">
        <w:rPr>
          <w:rFonts w:ascii="Century" w:hAnsi="Century"/>
        </w:rPr>
        <w:t xml:space="preserve">, </w:t>
      </w:r>
      <w:r w:rsidR="009C1584" w:rsidRPr="001A3EFD">
        <w:rPr>
          <w:rFonts w:ascii="Century" w:hAnsi="Century"/>
        </w:rPr>
        <w:t>%</w:t>
      </w:r>
      <w:r w:rsidR="0012349C" w:rsidRPr="001A3EFD">
        <w:rPr>
          <w:rFonts w:ascii="Century" w:hAnsi="Century"/>
        </w:rPr>
        <w:t>SCATTERPLOT</w:t>
      </w:r>
      <w:r w:rsidR="008720FC" w:rsidRPr="001A3EFD">
        <w:rPr>
          <w:rFonts w:ascii="Century" w:hAnsi="Century"/>
        </w:rPr>
        <w:t>, %GANNO_CORR</w:t>
      </w:r>
      <w:r w:rsidR="00713271" w:rsidRPr="001A3EFD">
        <w:rPr>
          <w:rFonts w:ascii="Century" w:hAnsi="Century"/>
        </w:rPr>
        <w:t>)</w:t>
      </w:r>
      <w:r w:rsidR="0012349C" w:rsidRPr="001A3EFD">
        <w:rPr>
          <w:rFonts w:ascii="Century" w:hAnsi="Century"/>
        </w:rPr>
        <w:t>.</w:t>
      </w:r>
    </w:p>
    <w:p w:rsidR="0020116C" w:rsidRPr="008A6DF8" w:rsidRDefault="0020116C">
      <w:pPr>
        <w:jc w:val="both"/>
        <w:rPr>
          <w:rFonts w:ascii="Century" w:hAnsi="Century"/>
        </w:rPr>
      </w:pPr>
    </w:p>
    <w:p w:rsidR="004C4BB6" w:rsidRDefault="004C4BB6" w:rsidP="004C4BB6">
      <w:pPr>
        <w:jc w:val="both"/>
        <w:rPr>
          <w:rFonts w:ascii="Century" w:hAnsi="Century"/>
        </w:rPr>
      </w:pPr>
      <w:r w:rsidRPr="00713271">
        <w:rPr>
          <w:rFonts w:ascii="Century" w:hAnsi="Century"/>
          <w:b/>
          <w:bCs/>
          <w:i/>
          <w:iCs/>
        </w:rPr>
        <w:t xml:space="preserve">Question </w:t>
      </w:r>
      <w:r w:rsidRPr="00713271">
        <w:rPr>
          <w:rFonts w:ascii="Century" w:hAnsi="Century"/>
          <w:b/>
          <w:i/>
        </w:rPr>
        <w:t> </w:t>
      </w:r>
      <w:r>
        <w:rPr>
          <w:rFonts w:ascii="Century" w:hAnsi="Century"/>
          <w:b/>
          <w:i/>
        </w:rPr>
        <w:t>2</w:t>
      </w:r>
      <w:r>
        <w:rPr>
          <w:rFonts w:ascii="Century" w:hAnsi="Century"/>
        </w:rPr>
        <w:t xml:space="preserve"> :</w:t>
      </w:r>
    </w:p>
    <w:p w:rsidR="004C4BB6" w:rsidRPr="004C4BB6" w:rsidRDefault="004C4BB6" w:rsidP="004C4BB6">
      <w:pPr>
        <w:jc w:val="both"/>
        <w:rPr>
          <w:rFonts w:ascii="Century" w:hAnsi="Century"/>
          <w:b/>
          <w:bCs/>
          <w:i/>
          <w:iCs/>
          <w:sz w:val="8"/>
          <w:szCs w:val="8"/>
        </w:rPr>
      </w:pPr>
    </w:p>
    <w:p w:rsidR="004C4BB6" w:rsidRPr="004C4BB6" w:rsidRDefault="004C4BB6" w:rsidP="004C4BB6">
      <w:pPr>
        <w:jc w:val="both"/>
        <w:rPr>
          <w:rFonts w:ascii="Century" w:hAnsi="Century"/>
          <w:bCs/>
          <w:iCs/>
        </w:rPr>
      </w:pPr>
      <w:r>
        <w:rPr>
          <w:rFonts w:ascii="Century" w:hAnsi="Century"/>
          <w:bCs/>
          <w:iCs/>
        </w:rPr>
        <w:t>Sur chacun des deux tours</w:t>
      </w:r>
      <w:r w:rsidR="00B90D79">
        <w:rPr>
          <w:rFonts w:ascii="Century" w:hAnsi="Century"/>
          <w:bCs/>
          <w:iCs/>
        </w:rPr>
        <w:t xml:space="preserve"> puis sur les deux tours simultanément,</w:t>
      </w:r>
      <w:r w:rsidR="00115C5D">
        <w:rPr>
          <w:rFonts w:ascii="Century" w:hAnsi="Century"/>
          <w:bCs/>
          <w:iCs/>
        </w:rPr>
        <w:t xml:space="preserve"> quels types</w:t>
      </w:r>
      <w:r>
        <w:rPr>
          <w:rFonts w:ascii="Century" w:hAnsi="Century"/>
          <w:bCs/>
          <w:iCs/>
        </w:rPr>
        <w:t xml:space="preserve"> d’analyse</w:t>
      </w:r>
      <w:r w:rsidR="0098412B">
        <w:rPr>
          <w:rFonts w:ascii="Century" w:hAnsi="Century"/>
          <w:bCs/>
          <w:iCs/>
        </w:rPr>
        <w:t>s</w:t>
      </w:r>
      <w:r>
        <w:rPr>
          <w:rFonts w:ascii="Century" w:hAnsi="Century"/>
          <w:bCs/>
          <w:iCs/>
        </w:rPr>
        <w:t xml:space="preserve"> multidimensionnelle</w:t>
      </w:r>
      <w:r w:rsidR="0098412B">
        <w:rPr>
          <w:rFonts w:ascii="Century" w:hAnsi="Century"/>
          <w:bCs/>
          <w:iCs/>
        </w:rPr>
        <w:t>s</w:t>
      </w:r>
      <w:r>
        <w:rPr>
          <w:rFonts w:ascii="Century" w:hAnsi="Century"/>
          <w:bCs/>
          <w:iCs/>
        </w:rPr>
        <w:t xml:space="preserve"> peut-on pratiquer ? Justifier vos choix et appliquer les méthodes retenues.</w:t>
      </w:r>
    </w:p>
    <w:p w:rsidR="004C4BB6" w:rsidRDefault="004C4BB6" w:rsidP="00F25474">
      <w:pPr>
        <w:jc w:val="both"/>
        <w:rPr>
          <w:rFonts w:ascii="Century" w:hAnsi="Century"/>
          <w:b/>
          <w:bCs/>
          <w:i/>
          <w:iCs/>
        </w:rPr>
      </w:pPr>
    </w:p>
    <w:p w:rsidR="00F25474" w:rsidRDefault="00F25474" w:rsidP="00F25474">
      <w:pPr>
        <w:jc w:val="both"/>
        <w:rPr>
          <w:rFonts w:ascii="Century" w:hAnsi="Century"/>
        </w:rPr>
      </w:pPr>
      <w:r w:rsidRPr="00713271">
        <w:rPr>
          <w:rFonts w:ascii="Century" w:hAnsi="Century"/>
          <w:b/>
          <w:bCs/>
          <w:i/>
          <w:iCs/>
        </w:rPr>
        <w:t xml:space="preserve">Question </w:t>
      </w:r>
      <w:r w:rsidR="004C4BB6">
        <w:rPr>
          <w:rFonts w:ascii="Century" w:hAnsi="Century"/>
          <w:b/>
          <w:i/>
        </w:rPr>
        <w:t>3</w:t>
      </w:r>
      <w:r w:rsidR="00713271">
        <w:rPr>
          <w:rFonts w:ascii="Century" w:hAnsi="Century"/>
        </w:rPr>
        <w:t xml:space="preserve"> </w:t>
      </w:r>
      <w:r>
        <w:rPr>
          <w:rFonts w:ascii="Century" w:hAnsi="Century"/>
        </w:rPr>
        <w:t>:</w:t>
      </w:r>
    </w:p>
    <w:p w:rsidR="00F25474" w:rsidRPr="00107B9F" w:rsidRDefault="00F25474" w:rsidP="00F25474">
      <w:pPr>
        <w:jc w:val="both"/>
        <w:rPr>
          <w:rFonts w:ascii="Century" w:hAnsi="Century"/>
          <w:sz w:val="8"/>
          <w:szCs w:val="8"/>
        </w:rPr>
      </w:pPr>
    </w:p>
    <w:p w:rsidR="001E19BC" w:rsidRDefault="004C4BB6" w:rsidP="00F25474">
      <w:pPr>
        <w:jc w:val="both"/>
        <w:rPr>
          <w:rFonts w:ascii="Century" w:hAnsi="Century"/>
        </w:rPr>
      </w:pPr>
      <w:r>
        <w:rPr>
          <w:rFonts w:ascii="Century" w:hAnsi="Century"/>
        </w:rPr>
        <w:t>Commençons par quatre</w:t>
      </w:r>
      <w:r w:rsidR="00F25474">
        <w:rPr>
          <w:rFonts w:ascii="Century" w:hAnsi="Century"/>
        </w:rPr>
        <w:t xml:space="preserve"> modèle</w:t>
      </w:r>
      <w:r w:rsidR="001A3EFD">
        <w:rPr>
          <w:rFonts w:ascii="Century" w:hAnsi="Century"/>
        </w:rPr>
        <w:t>s univariés</w:t>
      </w:r>
      <w:r>
        <w:rPr>
          <w:rFonts w:ascii="Century" w:hAnsi="Century"/>
        </w:rPr>
        <w:t xml:space="preserve"> </w:t>
      </w:r>
      <w:r w:rsidR="001E19BC">
        <w:rPr>
          <w:rFonts w:ascii="Century" w:hAnsi="Century"/>
        </w:rPr>
        <w:t xml:space="preserve">pour </w:t>
      </w:r>
      <w:r w:rsidR="001A3EFD">
        <w:rPr>
          <w:rFonts w:ascii="Century" w:hAnsi="Century"/>
        </w:rPr>
        <w:t xml:space="preserve">estimer </w:t>
      </w:r>
      <w:r>
        <w:rPr>
          <w:rFonts w:ascii="Century" w:hAnsi="Century"/>
        </w:rPr>
        <w:t>le nombre de voix des abstentionnistes, des bulletins blancs ou nuls, des suffrages de chacun des deux candidats retenus</w:t>
      </w:r>
      <w:r w:rsidR="001E19BC">
        <w:rPr>
          <w:rFonts w:ascii="Century" w:hAnsi="Century"/>
        </w:rPr>
        <w:t xml:space="preserve">, à l’aide des variables du premier tour. </w:t>
      </w:r>
    </w:p>
    <w:p w:rsidR="001E19BC" w:rsidRPr="00A67F9B" w:rsidRDefault="001E19BC" w:rsidP="00F25474">
      <w:pPr>
        <w:jc w:val="both"/>
        <w:rPr>
          <w:rFonts w:ascii="Century" w:hAnsi="Century"/>
          <w:sz w:val="16"/>
          <w:szCs w:val="16"/>
        </w:rPr>
      </w:pPr>
    </w:p>
    <w:p w:rsidR="001E19BC" w:rsidRDefault="001E19BC" w:rsidP="00F25474">
      <w:pPr>
        <w:jc w:val="both"/>
        <w:rPr>
          <w:rFonts w:ascii="Century" w:hAnsi="Century"/>
        </w:rPr>
      </w:pPr>
      <w:r>
        <w:rPr>
          <w:rFonts w:ascii="Century" w:hAnsi="Century"/>
        </w:rPr>
        <w:t xml:space="preserve">Pour cela, vous appliquerez une régression MCO et vous commenterez les résultats en utilisant les différents outils relatifs à la </w:t>
      </w:r>
      <w:proofErr w:type="spellStart"/>
      <w:r>
        <w:rPr>
          <w:rFonts w:ascii="Century" w:hAnsi="Century"/>
        </w:rPr>
        <w:t>multicolinéarité</w:t>
      </w:r>
      <w:proofErr w:type="spellEnd"/>
      <w:r>
        <w:rPr>
          <w:rFonts w:ascii="Century" w:hAnsi="Century"/>
        </w:rPr>
        <w:t xml:space="preserve"> vus en cours.  </w:t>
      </w:r>
    </w:p>
    <w:p w:rsidR="001E19BC" w:rsidRPr="00A67F9B" w:rsidRDefault="001E19BC" w:rsidP="00F25474">
      <w:pPr>
        <w:jc w:val="both"/>
        <w:rPr>
          <w:rFonts w:ascii="Century" w:hAnsi="Century"/>
          <w:sz w:val="16"/>
          <w:szCs w:val="16"/>
        </w:rPr>
      </w:pPr>
    </w:p>
    <w:p w:rsidR="001E19BC" w:rsidRDefault="001E19BC" w:rsidP="00F25474">
      <w:pPr>
        <w:jc w:val="both"/>
        <w:rPr>
          <w:rFonts w:ascii="Century" w:hAnsi="Century"/>
        </w:rPr>
      </w:pPr>
      <w:r>
        <w:rPr>
          <w:rFonts w:ascii="Century" w:hAnsi="Century"/>
        </w:rPr>
        <w:t xml:space="preserve">Vous appliquerez alors les régressions PCR et PLS à l’aide de la procédure SAS : Proc PLS et vous commenterez les résultats obtenus. Vous utiliserez alors la macro SAS %AIDE_INTERPRETATION pour les deux méthodes afin d’affiner les commentaires dur les résultats. </w:t>
      </w:r>
    </w:p>
    <w:p w:rsidR="001A3EFD" w:rsidRPr="001A3EFD" w:rsidRDefault="001A3EFD" w:rsidP="00F25474">
      <w:pPr>
        <w:jc w:val="both"/>
        <w:rPr>
          <w:rFonts w:ascii="Century" w:hAnsi="Century"/>
          <w:sz w:val="16"/>
          <w:szCs w:val="16"/>
        </w:rPr>
      </w:pPr>
    </w:p>
    <w:p w:rsidR="001A3EFD" w:rsidRDefault="001A3EFD" w:rsidP="00F25474">
      <w:pPr>
        <w:jc w:val="both"/>
        <w:rPr>
          <w:rFonts w:ascii="Century" w:hAnsi="Century"/>
        </w:rPr>
      </w:pPr>
      <w:r>
        <w:rPr>
          <w:rFonts w:ascii="Century" w:hAnsi="Century"/>
        </w:rPr>
        <w:t>Vous comparerez les résultats obtenus à l’aide des trois méthodes.</w:t>
      </w:r>
    </w:p>
    <w:p w:rsidR="001E19BC" w:rsidRDefault="001E19BC" w:rsidP="00F25474">
      <w:pPr>
        <w:jc w:val="both"/>
        <w:rPr>
          <w:rFonts w:ascii="Century" w:hAnsi="Century"/>
        </w:rPr>
      </w:pPr>
    </w:p>
    <w:p w:rsidR="0020116C" w:rsidRDefault="007E2C34">
      <w:pPr>
        <w:jc w:val="both"/>
        <w:rPr>
          <w:rFonts w:ascii="Century" w:hAnsi="Century"/>
        </w:rPr>
      </w:pPr>
      <w:r>
        <w:rPr>
          <w:rFonts w:ascii="Century" w:hAnsi="Century"/>
          <w:b/>
          <w:bCs/>
          <w:i/>
          <w:iCs/>
        </w:rPr>
        <w:t>Question 4</w:t>
      </w:r>
      <w:r>
        <w:rPr>
          <w:rFonts w:ascii="Century" w:hAnsi="Century"/>
        </w:rPr>
        <w:t> :</w:t>
      </w:r>
    </w:p>
    <w:p w:rsidR="0020116C" w:rsidRPr="00107B9F" w:rsidRDefault="0020116C">
      <w:pPr>
        <w:jc w:val="both"/>
        <w:rPr>
          <w:rFonts w:ascii="Century" w:hAnsi="Century"/>
          <w:sz w:val="8"/>
          <w:szCs w:val="8"/>
        </w:rPr>
      </w:pPr>
    </w:p>
    <w:p w:rsidR="00B77736" w:rsidRDefault="009B666D">
      <w:pPr>
        <w:jc w:val="both"/>
        <w:rPr>
          <w:rFonts w:ascii="Century" w:hAnsi="Century"/>
        </w:rPr>
      </w:pPr>
      <w:r>
        <w:rPr>
          <w:rFonts w:ascii="Century" w:hAnsi="Century"/>
        </w:rPr>
        <w:t xml:space="preserve">L’objectif est de modéliser l’ensemble des résultats obtenus au second tour à l’aide de ceux du premier tour. </w:t>
      </w:r>
      <w:r w:rsidR="00C7351D">
        <w:rPr>
          <w:rFonts w:ascii="Century" w:hAnsi="Century"/>
        </w:rPr>
        <w:t xml:space="preserve">La réponse est donc multivariée puisque l’on modélisera les quatre variables ajustées indépendamment dans </w:t>
      </w:r>
      <w:r w:rsidR="001A3EFD">
        <w:rPr>
          <w:rFonts w:ascii="Century" w:hAnsi="Century"/>
        </w:rPr>
        <w:t xml:space="preserve">la question 3. La modélisation </w:t>
      </w:r>
      <w:r w:rsidR="00C7351D">
        <w:rPr>
          <w:rFonts w:ascii="Century" w:hAnsi="Century"/>
        </w:rPr>
        <w:t>sera à effectuer sur les proportions, et non sur les nombres.</w:t>
      </w:r>
    </w:p>
    <w:p w:rsidR="001A3EFD" w:rsidRDefault="001A3EFD" w:rsidP="005915A6">
      <w:pPr>
        <w:pStyle w:val="Corpsdetexte"/>
        <w:rPr>
          <w:sz w:val="16"/>
          <w:szCs w:val="16"/>
        </w:rPr>
      </w:pPr>
    </w:p>
    <w:p w:rsidR="008A6DF8" w:rsidRPr="005915A6" w:rsidRDefault="001A3EFD" w:rsidP="005915A6">
      <w:pPr>
        <w:pStyle w:val="Corpsdetexte"/>
      </w:pPr>
      <w:r>
        <w:rPr>
          <w:sz w:val="16"/>
          <w:szCs w:val="16"/>
        </w:rPr>
        <w:t>O</w:t>
      </w:r>
      <w:r w:rsidR="00C7351D">
        <w:t xml:space="preserve">n appliquera les régressions PCR et PLS, et la macro SAS %AIDE_INTERPRETATION. </w:t>
      </w:r>
      <w:r w:rsidR="005915A6">
        <w:t>Vous commenterez alors les différents résultats, notamment pour répondre à l’objectif final qui est de cerner les grandes tendances, de détecter des départements atypiques ou mal reconstitués, etc.</w:t>
      </w:r>
      <w:r>
        <w:t xml:space="preserve"> Et vous comparer les résultats obtenus à l’aide des deux méthodes.</w:t>
      </w:r>
    </w:p>
    <w:sectPr w:rsidR="008A6DF8" w:rsidRPr="005915A6" w:rsidSect="001A3EF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55DA8"/>
    <w:multiLevelType w:val="hybridMultilevel"/>
    <w:tmpl w:val="BD308926"/>
    <w:lvl w:ilvl="0" w:tplc="B8AE8794">
      <w:start w:val="2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AF"/>
    <w:rsid w:val="0006615B"/>
    <w:rsid w:val="00107B9F"/>
    <w:rsid w:val="00115C5D"/>
    <w:rsid w:val="0012349C"/>
    <w:rsid w:val="00184264"/>
    <w:rsid w:val="001A3EFD"/>
    <w:rsid w:val="001E19BC"/>
    <w:rsid w:val="0020116C"/>
    <w:rsid w:val="0020352D"/>
    <w:rsid w:val="003B6C51"/>
    <w:rsid w:val="00455ADA"/>
    <w:rsid w:val="0046599A"/>
    <w:rsid w:val="004C4BB6"/>
    <w:rsid w:val="00530319"/>
    <w:rsid w:val="00586551"/>
    <w:rsid w:val="005915A6"/>
    <w:rsid w:val="005A069F"/>
    <w:rsid w:val="005C52F8"/>
    <w:rsid w:val="00612F92"/>
    <w:rsid w:val="006B0674"/>
    <w:rsid w:val="00713271"/>
    <w:rsid w:val="007358D5"/>
    <w:rsid w:val="00740E83"/>
    <w:rsid w:val="00757E15"/>
    <w:rsid w:val="00763BAF"/>
    <w:rsid w:val="00782CAC"/>
    <w:rsid w:val="007E2C34"/>
    <w:rsid w:val="008720FC"/>
    <w:rsid w:val="00896175"/>
    <w:rsid w:val="008A6DF8"/>
    <w:rsid w:val="008E0D32"/>
    <w:rsid w:val="00957B1F"/>
    <w:rsid w:val="0098412B"/>
    <w:rsid w:val="009B666D"/>
    <w:rsid w:val="009B7993"/>
    <w:rsid w:val="009C1584"/>
    <w:rsid w:val="009C31D9"/>
    <w:rsid w:val="009E5A05"/>
    <w:rsid w:val="00A3142E"/>
    <w:rsid w:val="00A67F9B"/>
    <w:rsid w:val="00A92DC9"/>
    <w:rsid w:val="00AA385F"/>
    <w:rsid w:val="00AA7AC6"/>
    <w:rsid w:val="00AE0802"/>
    <w:rsid w:val="00AE7A10"/>
    <w:rsid w:val="00AF3EFC"/>
    <w:rsid w:val="00AF3FEB"/>
    <w:rsid w:val="00B104EE"/>
    <w:rsid w:val="00B617C5"/>
    <w:rsid w:val="00B77736"/>
    <w:rsid w:val="00B90D79"/>
    <w:rsid w:val="00B968AB"/>
    <w:rsid w:val="00C7351D"/>
    <w:rsid w:val="00CD2C68"/>
    <w:rsid w:val="00CF7157"/>
    <w:rsid w:val="00D23C72"/>
    <w:rsid w:val="00D74CAF"/>
    <w:rsid w:val="00D757B0"/>
    <w:rsid w:val="00E00F57"/>
    <w:rsid w:val="00E33016"/>
    <w:rsid w:val="00E348BC"/>
    <w:rsid w:val="00E725AE"/>
    <w:rsid w:val="00EC1B77"/>
    <w:rsid w:val="00EF5D41"/>
    <w:rsid w:val="00F25474"/>
    <w:rsid w:val="00F261A5"/>
    <w:rsid w:val="00F37101"/>
    <w:rsid w:val="00F73BF8"/>
    <w:rsid w:val="00F900E2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C805DC"/>
  <w15:docId w15:val="{B9F4FFA4-CDD0-4BC9-B958-F5DFF441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16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20116C"/>
    <w:pPr>
      <w:jc w:val="both"/>
    </w:pPr>
    <w:rPr>
      <w:rFonts w:ascii="Century" w:hAnsi="Century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7A1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A1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F5D41"/>
    <w:pPr>
      <w:ind w:left="720"/>
      <w:contextualSpacing/>
    </w:pPr>
  </w:style>
  <w:style w:type="table" w:styleId="Grilledutableau">
    <w:name w:val="Table Grid"/>
    <w:basedOn w:val="TableauNormal"/>
    <w:uiPriority w:val="59"/>
    <w:rsid w:val="00F261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Travaux pratiques 1</vt:lpstr>
    </vt:vector>
  </TitlesOfParts>
  <Company>EDF</Company>
  <LinksUpToDate>false</LinksUpToDate>
  <CharactersWithSpaces>2622</CharactersWithSpaces>
  <SharedDoc>false</SharedDoc>
  <HLinks>
    <vt:vector size="12" baseType="variant">
      <vt:variant>
        <vt:i4>0</vt:i4>
      </vt:variant>
      <vt:variant>
        <vt:i4>1527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  <vt:variant>
        <vt:i4>-878706535</vt:i4>
      </vt:variant>
      <vt:variant>
        <vt:i4>2112</vt:i4>
      </vt:variant>
      <vt:variant>
        <vt:i4>1026</vt:i4>
      </vt:variant>
      <vt:variant>
        <vt:i4>1</vt:i4>
      </vt:variant>
      <vt:variant>
        <vt:lpwstr>_x0012_だ_x0014__x0012__x0012_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 1</dc:title>
  <dc:creator>Chez nous</dc:creator>
  <cp:lastModifiedBy>Christian Derquenne</cp:lastModifiedBy>
  <cp:revision>3</cp:revision>
  <dcterms:created xsi:type="dcterms:W3CDTF">2018-01-29T10:37:00Z</dcterms:created>
  <dcterms:modified xsi:type="dcterms:W3CDTF">2019-03-10T17:47:00Z</dcterms:modified>
</cp:coreProperties>
</file>