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900"/>
        <w:jc w:val="center"/>
      </w:pPr>
      <w:r>
        <w:rPr>
          <w:rFonts w:ascii="Arial" w:eastAsia="SimHei" w:hAnsi="SimHei"/>
          <w:b/>
          <w:bCs/>
          <w:sz w:val="44"/>
          <w:szCs w:val="44"/>
        </w:rPr>
        <w:t xml:space="preserve">VLA-4D 项目中期报告</w:t>
      </w:r>
    </w:p>
    <w:p>
      <w:pPr>
        <w:spacing w:after="700"/>
        <w:jc w:val="center"/>
      </w:pPr>
      <w:r>
        <w:rPr>
          <w:rFonts w:ascii="Arial" w:eastAsia="SimHei" w:hAnsi="SimHei"/>
          <w:color w:val="404040"/>
          <w:sz w:val="24"/>
          <w:szCs w:val="24"/>
        </w:rPr>
        <w:t xml:space="preserve">固定视觉 token 预算下的历史观测利用：基于 OpenVLA 与 LIBERO-Long 的实证</w:t>
      </w:r>
    </w:p>
    <w:tbl>
      <w:tblPr>
        <w:tblW w:type="dxa" w:w="9360"/>
        <w:tblBorders>
          <w:top w:val="single" w:color="7F7F7F" w:sz="8"/>
          <w:left w:val="single" w:color="BFBFBF" w:sz="4"/>
          <w:bottom w:val="single" w:color="7F7F7F" w:sz="8"/>
          <w:right w:val="single" w:color="BFBFBF" w:sz="4"/>
          <w:insideH w:val="single" w:color="BFBFBF" w:sz="4"/>
          <w:insideV w:val="single" w:color="BFBFBF" w:sz="4"/>
        </w:tblBorders>
      </w:tblPr>
      <w:tblGrid>
        <w:gridCol w:w="2434"/>
        <w:gridCol w:w="6926"/>
      </w:tblGrid>
      <w:tr>
        <w:trPr>
          <w:cantSplit/>
          <w:tblHeader/>
        </w:trPr>
        <w:tc>
          <w:tcPr>
            <w:tcW w:type="dxa" w:w="2434"/>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项</w:t>
            </w:r>
          </w:p>
        </w:tc>
        <w:tc>
          <w:tcPr>
            <w:tcW w:type="dxa" w:w="6926"/>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内容</w:t>
            </w:r>
          </w:p>
        </w:tc>
      </w:tr>
      <w:tr>
        <w:trPr>
          <w:cantSplit/>
          <w:tblHeader w:val="false"/>
        </w:trPr>
        <w:tc>
          <w:tcPr>
            <w:tcW w:type="dxa" w:w="2434"/>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报告日期</w:t>
            </w:r>
          </w:p>
        </w:tc>
        <w:tc>
          <w:tcPr>
            <w:tcW w:type="dxa" w:w="6926"/>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2026 年 10 月 8 日</w:t>
            </w:r>
          </w:p>
        </w:tc>
      </w:tr>
      <w:tr>
        <w:trPr>
          <w:cantSplit/>
          <w:tblHeader w:val="false"/>
        </w:trPr>
        <w:tc>
          <w:tcPr>
            <w:tcW w:type="dxa" w:w="2434"/>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当前阶段</w:t>
            </w:r>
          </w:p>
        </w:tc>
        <w:tc>
          <w:tcPr>
            <w:tcW w:type="dxa" w:w="6926"/>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仿真主实验与固定案例机制诊断已完成；受限改版已完成设计与离线验证，待训练审查</w:t>
            </w:r>
          </w:p>
        </w:tc>
      </w:tr>
      <w:tr>
        <w:trPr>
          <w:cantSplit/>
          <w:tblHeader w:val="false"/>
        </w:trPr>
        <w:tc>
          <w:tcPr>
            <w:tcW w:type="dxa" w:w="2434"/>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底座与任务</w:t>
            </w:r>
          </w:p>
        </w:tc>
        <w:tc>
          <w:tcPr>
            <w:tcW w:type="dxa" w:w="6926"/>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OpenVLA-7B（LoRA 微调，冻结视觉主干）；LIBERO-Long（libero_10）</w:t>
            </w:r>
          </w:p>
        </w:tc>
      </w:tr>
      <w:tr>
        <w:trPr>
          <w:cantSplit/>
          <w:tblHeader w:val="false"/>
        </w:trPr>
        <w:tc>
          <w:tcPr>
            <w:tcW w:type="dxa" w:w="2434"/>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评测口径</w:t>
            </w:r>
          </w:p>
        </w:tc>
        <w:tc>
          <w:tcPr>
            <w:tcW w:type="dxa" w:w="6926"/>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10 个任务 × 50 局 = 500 局，确定性初始状态，eval_batch = 8</w:t>
            </w:r>
          </w:p>
        </w:tc>
      </w:tr>
      <w:tr>
        <w:trPr>
          <w:cantSplit/>
          <w:tblHeader w:val="false"/>
        </w:trPr>
        <w:tc>
          <w:tcPr>
            <w:tcW w:type="dxa" w:w="2434"/>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结项时间</w:t>
            </w:r>
          </w:p>
        </w:tc>
        <w:tc>
          <w:tcPr>
            <w:tcW w:type="dxa" w:w="6926"/>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2027 年 1 月</w:t>
            </w:r>
          </w:p>
        </w:tc>
      </w:tr>
    </w:tbl>
    <w:p>
      <w:r>
        <w:br w:type="page"/>
      </w:r>
    </w:p>
    <w:p>
      <w:pPr>
        <w:pStyle w:val="Heading1"/>
        <w:spacing w:after="140" w:before="360"/>
      </w:pPr>
      <w:r>
        <w:rPr>
          <w:rFonts w:ascii="Arial" w:eastAsia="SimHei" w:hAnsi="SimHei"/>
          <w:b/>
          <w:bCs/>
          <w:color w:val="000000"/>
          <w:sz w:val="30"/>
          <w:szCs w:val="30"/>
        </w:rPr>
        <w:t xml:space="preserve">一、项目概述与主要结果</w:t>
      </w:r>
    </w:p>
    <w:p>
      <w:pPr>
        <w:spacing w:after="70" w:before="70" w:line="340"/>
        <w:ind w:firstLine="420"/>
      </w:pPr>
      <w:r>
        <w:rPr>
          <w:rFonts w:ascii="Times New Roman" w:eastAsia="SimSun" w:hAnsi="SimSun"/>
          <w:b w:val="false"/>
          <w:bCs w:val="false"/>
        </w:rPr>
        <w:t xml:space="preserve">本项目研究一个问题：在视觉 token 预算固定的前提下，如何利用历史观测改善机器人操作。预算固定的含义是，多帧输入经压缩后进入语言模型的视觉 token 数与单帧相同（N = 256），因此任何性能变化都不来自“多喂了 token”。</w:t>
      </w:r>
    </w:p>
    <w:p>
      <w:pPr>
        <w:spacing w:after="70" w:before="70" w:line="340"/>
        <w:ind w:firstLine="420"/>
      </w:pPr>
      <w:r>
        <w:rPr>
          <w:rFonts w:ascii="Times New Roman" w:eastAsia="SimSun" w:hAnsi="SimSun"/>
          <w:b w:val="false"/>
          <w:bCs w:val="false"/>
        </w:rPr>
        <w:t xml:space="preserve">围绕这一问题，我们在 OpenVLA-7B 上实现了完整的多帧视觉输入链路，并在 LIBERO-Long 上完成了三种方法的独立训练与满量闭环评测，每种方法 500 局。</w:t>
      </w:r>
    </w:p>
    <w:p>
      <w:pPr>
        <w:keepNext/>
        <w:spacing w:after="90" w:before="200"/>
      </w:pPr>
      <w:r>
        <w:rPr>
          <w:rFonts w:ascii="Times New Roman" w:eastAsia="SimSun" w:hAnsi="SimSun"/>
          <w:b/>
          <w:bCs/>
          <w:sz w:val="19"/>
          <w:szCs w:val="19"/>
        </w:rPr>
        <w:t xml:space="preserve">表 1-1  主要结果（同一训练条件：30 000 步，n = 500，eval_batch = 8）</w:t>
      </w:r>
    </w:p>
    <w:tbl>
      <w:tblPr>
        <w:tblW w:type="dxa" w:w="9360"/>
        <w:tblBorders>
          <w:top w:val="single" w:color="7F7F7F" w:sz="8"/>
          <w:left w:val="single" w:color="BFBFBF" w:sz="4"/>
          <w:bottom w:val="single" w:color="7F7F7F" w:sz="8"/>
          <w:right w:val="single" w:color="BFBFBF" w:sz="4"/>
          <w:insideH w:val="single" w:color="BFBFBF" w:sz="4"/>
          <w:insideV w:val="single" w:color="BFBFBF" w:sz="4"/>
        </w:tblBorders>
      </w:tblPr>
      <w:tblGrid>
        <w:gridCol w:w="2808"/>
        <w:gridCol w:w="1591"/>
        <w:gridCol w:w="1404"/>
        <w:gridCol w:w="1778"/>
        <w:gridCol w:w="1779"/>
      </w:tblGrid>
      <w:tr>
        <w:trPr>
          <w:cantSplit/>
          <w:tblHeader/>
        </w:trPr>
        <w:tc>
          <w:tcPr>
            <w:tcW w:type="dxa" w:w="2808"/>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方法</w:t>
            </w:r>
          </w:p>
        </w:tc>
        <w:tc>
          <w:tcPr>
            <w:tcW w:type="dxa" w:w="1591"/>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成功局数</w:t>
            </w:r>
          </w:p>
        </w:tc>
        <w:tc>
          <w:tcPr>
            <w:tcW w:type="dxa" w:w="1404"/>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成功率</w:t>
            </w:r>
          </w:p>
        </w:tc>
        <w:tc>
          <w:tcPr>
            <w:tcW w:type="dxa" w:w="1778"/>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相对 G0</w:t>
            </w:r>
          </w:p>
        </w:tc>
        <w:tc>
          <w:tcPr>
            <w:tcW w:type="dxa" w:w="1779"/>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相对 G2</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G0：单帧基线</w:t>
            </w:r>
          </w:p>
        </w:tc>
        <w:tc>
          <w:tcPr>
            <w:tcW w:type="dxa" w:w="1591"/>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117/500</w:t>
            </w:r>
          </w:p>
        </w:tc>
        <w:tc>
          <w:tcPr>
            <w:tcW w:type="dxa" w:w="1404"/>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23.40%</w:t>
            </w:r>
          </w:p>
        </w:tc>
        <w:tc>
          <w:tcPr>
            <w:tcW w:type="dxa" w:w="1778"/>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w:t>
            </w:r>
          </w:p>
        </w:tc>
        <w:tc>
          <w:tcPr>
            <w:tcW w:type="dxa" w:w="177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−18.80 点</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G3：跨帧联合池化</w:t>
            </w:r>
          </w:p>
        </w:tc>
        <w:tc>
          <w:tcPr>
            <w:tcW w:type="dxa" w:w="1591"/>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118/500</w:t>
            </w:r>
          </w:p>
        </w:tc>
        <w:tc>
          <w:tcPr>
            <w:tcW w:type="dxa" w:w="1404"/>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23.60%</w:t>
            </w:r>
          </w:p>
        </w:tc>
        <w:tc>
          <w:tcPr>
            <w:tcW w:type="dxa" w:w="1778"/>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+0.20 点</w:t>
            </w:r>
          </w:p>
        </w:tc>
        <w:tc>
          <w:tcPr>
            <w:tcW w:type="dxa" w:w="177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−18.60 点</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G2：帧独立池化</w:t>
            </w:r>
          </w:p>
        </w:tc>
        <w:tc>
          <w:tcPr>
            <w:tcW w:type="dxa" w:w="1591"/>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211/500</w:t>
            </w:r>
          </w:p>
        </w:tc>
        <w:tc>
          <w:tcPr>
            <w:tcW w:type="dxa" w:w="1404"/>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42.20%</w:t>
            </w:r>
          </w:p>
        </w:tc>
        <w:tc>
          <w:tcPr>
            <w:tcW w:type="dxa" w:w="1778"/>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+18.80 点</w:t>
            </w:r>
          </w:p>
        </w:tc>
        <w:tc>
          <w:tcPr>
            <w:tcW w:type="dxa" w:w="177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w:t>
            </w:r>
          </w:p>
        </w:tc>
      </w:tr>
    </w:tbl>
    <w:p>
      <w:pPr>
        <w:spacing w:after="70" w:before="70" w:line="340"/>
        <w:ind w:firstLine="420"/>
      </w:pPr>
      <w:r>
        <w:rPr>
          <w:rFonts w:ascii="Times New Roman" w:eastAsia="SimSun" w:hAnsi="SimSun"/>
          <w:b w:val="false"/>
          <w:bCs w:val="false"/>
        </w:rPr>
        <w:t xml:space="preserve">两点结论。其一，</w:t>
      </w:r>
      <w:r>
        <w:rPr>
          <w:rFonts w:ascii="Times New Roman" w:eastAsia="SimSun" w:hAnsi="SimSun"/>
          <w:b/>
          <w:bCs/>
        </w:rPr>
        <w:t xml:space="preserve">在预算固定的条件下引入历史观测是有效的</w:t>
      </w:r>
      <w:r>
        <w:rPr>
          <w:rFonts w:ascii="Times New Roman" w:eastAsia="SimSun" w:hAnsi="SimSun"/>
          <w:b w:val="false"/>
          <w:bCs w:val="false"/>
        </w:rPr>
        <w:t xml:space="preserve">：帧独立多帧方案比单帧基线高出 18.80 个百分点。其二，</w:t>
      </w:r>
      <w:r>
        <w:rPr>
          <w:rFonts w:ascii="Times New Roman" w:eastAsia="SimSun" w:hAnsi="SimSun"/>
          <w:b/>
          <w:bCs/>
        </w:rPr>
        <w:t xml:space="preserve">聚合方式决定了这份收益能否保留</w:t>
      </w:r>
      <w:r>
        <w:rPr>
          <w:rFonts w:ascii="Times New Roman" w:eastAsia="SimSun" w:hAnsi="SimSun"/>
          <w:b w:val="false"/>
          <w:bCs w:val="false"/>
        </w:rPr>
        <w:t xml:space="preserve">：让八帧在一个全局预算中共同竞争的跨帧联合池化，其成功率与单帧基线基本持平（+0.20 点），历史观测带来的增益没有被保留下来。</w:t>
      </w:r>
    </w:p>
    <w:p>
      <w:pPr>
        <w:spacing w:after="70" w:before="70" w:line="340"/>
        <w:ind w:firstLine="420"/>
      </w:pPr>
      <w:r>
        <w:rPr>
          <w:rFonts w:ascii="Times New Roman" w:eastAsia="SimSun" w:hAnsi="SimSun"/>
          <w:b w:val="false"/>
          <w:bCs w:val="false"/>
        </w:rPr>
        <w:t xml:space="preserve">项目据此选择帧独立方案作为软件交付的主线。10 月完成的固定案例机制诊断进一步表明：跨帧联合池化在历史填满后把每个输出 token 都做成四帧的平均，最新一帧没有一个只属于自己的 token；帧独立方案则以最少的 token（200 个）为每一帧保留了独立表示。据此我们设计了一个只改动这一处的受限改版（G3Q），用于检验“最新帧被稀释”是否就是差距的主因；是否训练在 10 月底单独审查。</w:t>
      </w:r>
    </w:p>
    <w:p>
      <w:pPr>
        <w:spacing w:after="70" w:before="70" w:line="340"/>
        <w:ind w:firstLine="420"/>
      </w:pPr>
      <w:r>
        <w:rPr>
          <w:rFonts w:ascii="Times New Roman" w:eastAsia="SimSun" w:hAnsi="SimSun"/>
          <w:b w:val="false"/>
          <w:bCs w:val="false"/>
        </w:rPr>
        <w:t xml:space="preserve">当前阶段的其余工作是：完成可回放的最小演示与结项图表，整理结项材料。</w:t>
      </w:r>
    </w:p>
    <w:p>
      <w:pPr>
        <w:pStyle w:val="Heading1"/>
        <w:spacing w:after="140" w:before="360"/>
      </w:pPr>
      <w:r>
        <w:rPr>
          <w:rFonts w:ascii="Arial" w:eastAsia="SimHei" w:hAnsi="SimHei"/>
          <w:b/>
          <w:bCs/>
          <w:color w:val="000000"/>
          <w:sz w:val="30"/>
          <w:szCs w:val="30"/>
        </w:rPr>
        <w:t xml:space="preserve">二、研究问题与技术路线</w:t>
      </w:r>
    </w:p>
    <w:p>
      <w:pPr>
        <w:pStyle w:val="Heading2"/>
        <w:spacing w:after="140" w:before="260"/>
      </w:pPr>
      <w:r>
        <w:rPr>
          <w:rFonts w:ascii="Arial" w:eastAsia="SimHei" w:hAnsi="SimHei"/>
          <w:b/>
          <w:bCs/>
          <w:color w:val="000000"/>
          <w:sz w:val="24"/>
          <w:szCs w:val="24"/>
        </w:rPr>
        <w:t xml:space="preserve">2.1 命题</w:t>
      </w:r>
    </w:p>
    <w:p>
      <w:pPr>
        <w:spacing w:after="70" w:before="70" w:line="340"/>
        <w:ind w:firstLine="420"/>
      </w:pPr>
      <w:r>
        <w:rPr>
          <w:rFonts w:ascii="Times New Roman" w:eastAsia="SimSun" w:hAnsi="SimSun"/>
          <w:b w:val="false"/>
          <w:bCs w:val="false"/>
        </w:rPr>
        <w:t xml:space="preserve">申报方向是 4D（三维空间加时间）时空感知用于机器人操作。为使其可实验检验，我们把它收缩为一个具体命题：</w:t>
      </w:r>
      <w:r>
        <w:rPr>
          <w:rFonts w:ascii="Times New Roman" w:eastAsia="SimSun" w:hAnsi="SimSun"/>
          <w:b/>
          <w:bCs/>
        </w:rPr>
        <w:t xml:space="preserve">固定视觉 token 预算下，怎样保留当前观测，并利用历史观测改善机器人操作？</w:t>
      </w:r>
      <w:r>
        <w:rPr>
          <w:rFonts w:ascii="Times New Roman" w:eastAsia="SimSun" w:hAnsi="SimSun"/>
          <w:b w:val="false"/>
          <w:bCs w:val="false"/>
        </w:rPr>
        <w:t xml:space="preserve"/>
      </w:r>
    </w:p>
    <w:p>
      <w:pPr>
        <w:spacing w:after="70" w:before="70" w:line="340"/>
        <w:ind w:firstLine="420"/>
      </w:pPr>
      <w:r>
        <w:rPr>
          <w:rFonts w:ascii="Times New Roman" w:eastAsia="SimSun" w:hAnsi="SimSun"/>
          <w:b w:val="false"/>
          <w:bCs w:val="false"/>
        </w:rPr>
        <w:t xml:space="preserve">收缩的方法是四步：固定可控变量（底座模型、任务集、token 预算）；把“4D 有用”拆成互相独立、可分别检验的假设层；为每一层配一个能够否证它的对照臂；在实验开始之前写下判据、样本量与决策规则。命题本身不预设跨帧池化或度量坐标一定更好，因此任一方向的结果都是可报告的结论。</w:t>
      </w:r>
    </w:p>
    <w:p>
      <w:pPr>
        <w:pStyle w:val="Heading2"/>
        <w:spacing w:after="140" w:before="260"/>
      </w:pPr>
      <w:r>
        <w:rPr>
          <w:rFonts w:ascii="Arial" w:eastAsia="SimHei" w:hAnsi="SimHei"/>
          <w:b/>
          <w:bCs/>
          <w:color w:val="000000"/>
          <w:sz w:val="24"/>
          <w:szCs w:val="24"/>
        </w:rPr>
        <w:t xml:space="preserve">2.2 四层假设</w:t>
      </w:r>
    </w:p>
    <w:p>
      <w:pPr>
        <w:spacing w:after="70" w:before="70" w:line="340"/>
        <w:ind w:firstLine="420"/>
      </w:pPr>
      <w:r>
        <w:rPr>
          <w:rFonts w:ascii="Times New Roman" w:eastAsia="SimSun" w:hAnsi="SimSun"/>
          <w:b w:val="false"/>
          <w:bCs w:val="false"/>
        </w:rPr>
        <w:t xml:space="preserve">分层的作用是使结论可定位：某一层的结果不会连带决定其余各层。</w:t>
      </w:r>
    </w:p>
    <w:p>
      <w:pPr>
        <w:keepNext/>
        <w:spacing w:after="90" w:before="200"/>
      </w:pPr>
      <w:r>
        <w:rPr>
          <w:rFonts w:ascii="Times New Roman" w:eastAsia="SimSun" w:hAnsi="SimSun"/>
          <w:b/>
          <w:bCs/>
          <w:sz w:val="19"/>
          <w:szCs w:val="19"/>
        </w:rPr>
        <w:t xml:space="preserve">表 2-1  四层假设及其检验状态</w:t>
      </w:r>
    </w:p>
    <w:tbl>
      <w:tblPr>
        <w:tblW w:type="dxa" w:w="9360"/>
        <w:tblBorders>
          <w:top w:val="single" w:color="7F7F7F" w:sz="8"/>
          <w:left w:val="single" w:color="BFBFBF" w:sz="4"/>
          <w:bottom w:val="single" w:color="7F7F7F" w:sz="8"/>
          <w:right w:val="single" w:color="BFBFBF" w:sz="4"/>
          <w:insideH w:val="single" w:color="BFBFBF" w:sz="4"/>
          <w:insideV w:val="single" w:color="BFBFBF" w:sz="4"/>
        </w:tblBorders>
      </w:tblPr>
      <w:tblGrid>
        <w:gridCol w:w="655"/>
        <w:gridCol w:w="3089"/>
        <w:gridCol w:w="2434"/>
        <w:gridCol w:w="3182"/>
      </w:tblGrid>
      <w:tr>
        <w:trPr>
          <w:cantSplit/>
          <w:tblHeader/>
        </w:trPr>
        <w:tc>
          <w:tcPr>
            <w:tcW w:type="dxa" w:w="655"/>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层</w:t>
            </w:r>
          </w:p>
        </w:tc>
        <w:tc>
          <w:tcPr>
            <w:tcW w:type="dxa" w:w="3089"/>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命题</w:t>
            </w:r>
          </w:p>
        </w:tc>
        <w:tc>
          <w:tcPr>
            <w:tcW w:type="dxa" w:w="2434"/>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对照</w:t>
            </w:r>
          </w:p>
        </w:tc>
        <w:tc>
          <w:tcPr>
            <w:tcW w:type="dxa" w:w="3182"/>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状态</w:t>
            </w:r>
          </w:p>
        </w:tc>
      </w:tr>
      <w:tr>
        <w:trPr>
          <w:cantSplit/>
          <w:tblHeader w:val="false"/>
        </w:trPr>
        <w:tc>
          <w:tcPr>
            <w:tcW w:type="dxa" w:w="655"/>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L0</w:t>
            </w:r>
          </w:p>
        </w:tc>
        <w:tc>
          <w:tcPr>
            <w:tcW w:type="dxa" w:w="3089"/>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同预算下历史帧有用</w:t>
            </w:r>
          </w:p>
        </w:tc>
        <w:tc>
          <w:tcPr>
            <w:tcW w:type="dxa" w:w="2434"/>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G2 对 G0</w:t>
            </w:r>
          </w:p>
        </w:tc>
        <w:tc>
          <w:tcPr>
            <w:tcW w:type="dxa" w:w="318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成立（+18.80 点，30k 步）</w:t>
            </w:r>
          </w:p>
        </w:tc>
      </w:tr>
      <w:tr>
        <w:trPr>
          <w:cantSplit/>
          <w:tblHeader w:val="false"/>
        </w:trPr>
        <w:tc>
          <w:tcPr>
            <w:tcW w:type="dxa" w:w="655"/>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L1</w:t>
            </w:r>
          </w:p>
        </w:tc>
        <w:tc>
          <w:tcPr>
            <w:tcW w:type="dxa" w:w="3089"/>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分配所用坐标系有影响，度量 4D 优于图像网格</w:t>
            </w:r>
          </w:p>
        </w:tc>
        <w:tc>
          <w:tcPr>
            <w:tcW w:type="dxa" w:w="2434"/>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G4 对 G3</w:t>
            </w:r>
          </w:p>
        </w:tc>
        <w:tc>
          <w:tcPr>
            <w:tcW w:type="dxa" w:w="318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未能证实（+1.78 点，p = 0.57）</w:t>
            </w:r>
          </w:p>
        </w:tc>
      </w:tr>
      <w:tr>
        <w:trPr>
          <w:cantSplit/>
          <w:tblHeader w:val="false"/>
        </w:trPr>
        <w:tc>
          <w:tcPr>
            <w:tcW w:type="dxa" w:w="655"/>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L2</w:t>
            </w:r>
          </w:p>
        </w:tc>
        <w:tc>
          <w:tcPr>
            <w:tcW w:type="dxa" w:w="3089"/>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池化与位置编码对坐标质量的要求不同</w:t>
            </w:r>
          </w:p>
        </w:tc>
        <w:tc>
          <w:tcPr>
            <w:tcW w:type="dxa" w:w="2434"/>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真值深度对单目深度</w:t>
            </w:r>
          </w:p>
        </w:tc>
        <w:tc>
          <w:tcPr>
            <w:tcW w:type="dxa" w:w="318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本阶段未排期</w:t>
            </w:r>
          </w:p>
        </w:tc>
      </w:tr>
      <w:tr>
        <w:trPr>
          <w:cantSplit/>
          <w:tblHeader w:val="false"/>
        </w:trPr>
        <w:tc>
          <w:tcPr>
            <w:tcW w:type="dxa" w:w="655"/>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L3</w:t>
            </w:r>
          </w:p>
        </w:tc>
        <w:tc>
          <w:tcPr>
            <w:tcW w:type="dxa" w:w="3089"/>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两侧使用同一套坐标本身有用</w:t>
            </w:r>
          </w:p>
        </w:tc>
        <w:tc>
          <w:tcPr>
            <w:tcW w:type="dxa" w:w="2434"/>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G4 对 M2 且 G4 对 M3</w:t>
            </w:r>
          </w:p>
        </w:tc>
        <w:tc>
          <w:tcPr>
            <w:tcW w:type="dxa" w:w="318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不成立（其中一条为负）</w:t>
            </w:r>
          </w:p>
        </w:tc>
      </w:tr>
    </w:tbl>
    <w:p>
      <w:pPr>
        <w:spacing w:after="70" w:before="70" w:line="340"/>
        <w:ind w:firstLine="420"/>
      </w:pPr>
      <w:r>
        <w:rPr>
          <w:rFonts w:ascii="Times New Roman" w:eastAsia="SimSun" w:hAnsi="SimSun"/>
          <w:b w:val="false"/>
          <w:bCs w:val="false"/>
        </w:rPr>
        <w:t xml:space="preserve">需要区分“未能证实”与“证伪”：L1 的效应量点估计为正但未达显著，而 LIBERO 的样本量存在上限（见 4.6），故记为未能证实。引用该结论时应一并给出这一条件。</w:t>
      </w:r>
    </w:p>
    <w:p>
      <w:pPr>
        <w:pStyle w:val="Heading2"/>
        <w:spacing w:after="140" w:before="260"/>
      </w:pPr>
      <w:r>
        <w:rPr>
          <w:rFonts w:ascii="Arial" w:eastAsia="SimHei" w:hAnsi="SimHei"/>
          <w:b/>
          <w:bCs/>
          <w:color w:val="000000"/>
          <w:sz w:val="24"/>
          <w:szCs w:val="24"/>
        </w:rPr>
        <w:t xml:space="preserve">2.3 七组对照</w:t>
      </w:r>
    </w:p>
    <w:p>
      <w:pPr>
        <w:spacing w:after="70" w:before="70" w:line="340"/>
        <w:ind w:firstLine="420"/>
      </w:pPr>
      <w:r>
        <w:rPr>
          <w:rFonts w:ascii="Times New Roman" w:eastAsia="SimSun" w:hAnsi="SimSun"/>
          <w:b w:val="false"/>
          <w:bCs w:val="false"/>
        </w:rPr>
        <w:t xml:space="preserve">七组对照由同一份模型接线代码产生，差别仅在一个方法参数。这样能保证组间差异只来自设计变量，而不来自实现路径。</w:t>
      </w:r>
    </w:p>
    <w:p>
      <w:pPr>
        <w:keepNext/>
        <w:spacing w:after="90" w:before="200"/>
      </w:pPr>
      <w:r>
        <w:rPr>
          <w:rFonts w:ascii="Times New Roman" w:eastAsia="SimSun" w:hAnsi="SimSun"/>
          <w:b/>
          <w:bCs/>
          <w:sz w:val="19"/>
          <w:szCs w:val="19"/>
        </w:rPr>
        <w:t xml:space="preserve">表 2-2  七组对照</w:t>
      </w:r>
    </w:p>
    <w:tbl>
      <w:tblPr>
        <w:tblW w:type="dxa" w:w="9360"/>
        <w:tblBorders>
          <w:top w:val="single" w:color="7F7F7F" w:sz="8"/>
          <w:left w:val="single" w:color="BFBFBF" w:sz="4"/>
          <w:bottom w:val="single" w:color="7F7F7F" w:sz="8"/>
          <w:right w:val="single" w:color="BFBFBF" w:sz="4"/>
          <w:insideH w:val="single" w:color="BFBFBF" w:sz="4"/>
          <w:insideV w:val="single" w:color="BFBFBF" w:sz="4"/>
        </w:tblBorders>
      </w:tblPr>
      <w:tblGrid>
        <w:gridCol w:w="842"/>
        <w:gridCol w:w="655"/>
        <w:gridCol w:w="2059"/>
        <w:gridCol w:w="1310"/>
        <w:gridCol w:w="1591"/>
        <w:gridCol w:w="2903"/>
      </w:tblGrid>
      <w:tr>
        <w:trPr>
          <w:cantSplit/>
          <w:tblHeader/>
        </w:trPr>
        <w:tc>
          <w:tcPr>
            <w:tcW w:type="dxa" w:w="842"/>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方法</w:t>
            </w:r>
          </w:p>
        </w:tc>
        <w:tc>
          <w:tcPr>
            <w:tcW w:type="dxa" w:w="655"/>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K</w:t>
            </w:r>
          </w:p>
        </w:tc>
        <w:tc>
          <w:tcPr>
            <w:tcW w:type="dxa" w:w="2059"/>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池化方式</w:t>
            </w:r>
          </w:p>
        </w:tc>
        <w:tc>
          <w:tcPr>
            <w:tcW w:type="dxa" w:w="1310"/>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池化坐标</w:t>
            </w:r>
          </w:p>
        </w:tc>
        <w:tc>
          <w:tcPr>
            <w:tcW w:type="dxa" w:w="1591"/>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位置编码坐标</w:t>
            </w:r>
          </w:p>
        </w:tc>
        <w:tc>
          <w:tcPr>
            <w:tcW w:type="dxa" w:w="2903"/>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用途</w:t>
            </w:r>
          </w:p>
        </w:tc>
      </w:tr>
      <w:tr>
        <w:trPr>
          <w:cantSplit/>
          <w:tblHeader w:val="false"/>
        </w:trPr>
        <w:tc>
          <w:tcPr>
            <w:tcW w:type="dxa" w:w="842"/>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G0</w:t>
            </w:r>
          </w:p>
        </w:tc>
        <w:tc>
          <w:tcPr>
            <w:tcW w:type="dxa" w:w="655"/>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1</w:t>
            </w:r>
          </w:p>
        </w:tc>
        <w:tc>
          <w:tcPr>
            <w:tcW w:type="dxa" w:w="2059"/>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不池化</w:t>
            </w:r>
          </w:p>
        </w:tc>
        <w:tc>
          <w:tcPr>
            <w:tcW w:type="dxa" w:w="1310"/>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w:t>
            </w:r>
          </w:p>
        </w:tc>
        <w:tc>
          <w:tcPr>
            <w:tcW w:type="dxa" w:w="1591"/>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1D</w:t>
            </w:r>
          </w:p>
        </w:tc>
        <w:tc>
          <w:tcPr>
            <w:tcW w:type="dxa" w:w="2903"/>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单帧基线</w:t>
            </w:r>
          </w:p>
        </w:tc>
      </w:tr>
      <w:tr>
        <w:trPr>
          <w:cantSplit/>
          <w:tblHeader w:val="false"/>
        </w:trPr>
        <w:tc>
          <w:tcPr>
            <w:tcW w:type="dxa" w:w="842"/>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G1</w:t>
            </w:r>
          </w:p>
        </w:tc>
        <w:tc>
          <w:tcPr>
            <w:tcW w:type="dxa" w:w="655"/>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8</w:t>
            </w:r>
          </w:p>
        </w:tc>
        <w:tc>
          <w:tcPr>
            <w:tcW w:type="dxa" w:w="2059"/>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不池化</w:t>
            </w:r>
          </w:p>
        </w:tc>
        <w:tc>
          <w:tcPr>
            <w:tcW w:type="dxa" w:w="1310"/>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w:t>
            </w:r>
          </w:p>
        </w:tc>
        <w:tc>
          <w:tcPr>
            <w:tcW w:type="dxa" w:w="1591"/>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待定</w:t>
            </w:r>
          </w:p>
        </w:tc>
        <w:tc>
          <w:tcPr>
            <w:tcW w:type="dxa" w:w="2903"/>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本阶段未实现</w:t>
            </w:r>
          </w:p>
        </w:tc>
      </w:tr>
      <w:tr>
        <w:trPr>
          <w:cantSplit/>
          <w:tblHeader w:val="false"/>
        </w:trPr>
        <w:tc>
          <w:tcPr>
            <w:tcW w:type="dxa" w:w="842"/>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G2</w:t>
            </w:r>
          </w:p>
        </w:tc>
        <w:tc>
          <w:tcPr>
            <w:tcW w:type="dxa" w:w="655"/>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8</w:t>
            </w:r>
          </w:p>
        </w:tc>
        <w:tc>
          <w:tcPr>
            <w:tcW w:type="dxa" w:w="2059"/>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帧独立池化到 N</w:t>
            </w:r>
          </w:p>
        </w:tc>
        <w:tc>
          <w:tcPr>
            <w:tcW w:type="dxa" w:w="1310"/>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网格</w:t>
            </w:r>
          </w:p>
        </w:tc>
        <w:tc>
          <w:tcPr>
            <w:tcW w:type="dxa" w:w="1591"/>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(t,h,w)</w:t>
            </w:r>
          </w:p>
        </w:tc>
        <w:tc>
          <w:tcPr>
            <w:tcW w:type="dxa" w:w="2903"/>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帧独立参照</w:t>
            </w:r>
          </w:p>
        </w:tc>
      </w:tr>
      <w:tr>
        <w:trPr>
          <w:cantSplit/>
          <w:tblHeader w:val="false"/>
        </w:trPr>
        <w:tc>
          <w:tcPr>
            <w:tcW w:type="dxa" w:w="842"/>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G3</w:t>
            </w:r>
          </w:p>
        </w:tc>
        <w:tc>
          <w:tcPr>
            <w:tcW w:type="dxa" w:w="655"/>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8</w:t>
            </w:r>
          </w:p>
        </w:tc>
        <w:tc>
          <w:tcPr>
            <w:tcW w:type="dxa" w:w="2059"/>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跨帧联合池化</w:t>
            </w:r>
          </w:p>
        </w:tc>
        <w:tc>
          <w:tcPr>
            <w:tcW w:type="dxa" w:w="1310"/>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网格</w:t>
            </w:r>
          </w:p>
        </w:tc>
        <w:tc>
          <w:tcPr>
            <w:tcW w:type="dxa" w:w="1591"/>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(t,h,w)</w:t>
            </w:r>
          </w:p>
        </w:tc>
        <w:tc>
          <w:tcPr>
            <w:tcW w:type="dxa" w:w="2903"/>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跨帧联合的基准</w:t>
            </w:r>
          </w:p>
        </w:tc>
      </w:tr>
      <w:tr>
        <w:trPr>
          <w:cantSplit/>
          <w:tblHeader w:val="false"/>
        </w:trPr>
        <w:tc>
          <w:tcPr>
            <w:tcW w:type="dxa" w:w="842"/>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M3</w:t>
            </w:r>
          </w:p>
        </w:tc>
        <w:tc>
          <w:tcPr>
            <w:tcW w:type="dxa" w:w="655"/>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8</w:t>
            </w:r>
          </w:p>
        </w:tc>
        <w:tc>
          <w:tcPr>
            <w:tcW w:type="dxa" w:w="2059"/>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跨帧联合池化</w:t>
            </w:r>
          </w:p>
        </w:tc>
        <w:tc>
          <w:tcPr>
            <w:tcW w:type="dxa" w:w="1310"/>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网格</w:t>
            </w:r>
          </w:p>
        </w:tc>
        <w:tc>
          <w:tcPr>
            <w:tcW w:type="dxa" w:w="1591"/>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(t,x,y,z)</w:t>
            </w:r>
          </w:p>
        </w:tc>
        <w:tc>
          <w:tcPr>
            <w:tcW w:type="dxa" w:w="2903"/>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坐标错配对照</w:t>
            </w:r>
          </w:p>
        </w:tc>
      </w:tr>
      <w:tr>
        <w:trPr>
          <w:cantSplit/>
          <w:tblHeader w:val="false"/>
        </w:trPr>
        <w:tc>
          <w:tcPr>
            <w:tcW w:type="dxa" w:w="842"/>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M2</w:t>
            </w:r>
          </w:p>
        </w:tc>
        <w:tc>
          <w:tcPr>
            <w:tcW w:type="dxa" w:w="655"/>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8</w:t>
            </w:r>
          </w:p>
        </w:tc>
        <w:tc>
          <w:tcPr>
            <w:tcW w:type="dxa" w:w="2059"/>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跨帧联合池化</w:t>
            </w:r>
          </w:p>
        </w:tc>
        <w:tc>
          <w:tcPr>
            <w:tcW w:type="dxa" w:w="1310"/>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度量</w:t>
            </w:r>
          </w:p>
        </w:tc>
        <w:tc>
          <w:tcPr>
            <w:tcW w:type="dxa" w:w="1591"/>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(t,h,w)</w:t>
            </w:r>
          </w:p>
        </w:tc>
        <w:tc>
          <w:tcPr>
            <w:tcW w:type="dxa" w:w="2903"/>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坐标错配对照</w:t>
            </w:r>
          </w:p>
        </w:tc>
      </w:tr>
      <w:tr>
        <w:trPr>
          <w:cantSplit/>
          <w:tblHeader w:val="false"/>
        </w:trPr>
        <w:tc>
          <w:tcPr>
            <w:tcW w:type="dxa" w:w="842"/>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G4</w:t>
            </w:r>
          </w:p>
        </w:tc>
        <w:tc>
          <w:tcPr>
            <w:tcW w:type="dxa" w:w="655"/>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8</w:t>
            </w:r>
          </w:p>
        </w:tc>
        <w:tc>
          <w:tcPr>
            <w:tcW w:type="dxa" w:w="2059"/>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跨帧联合池化</w:t>
            </w:r>
          </w:p>
        </w:tc>
        <w:tc>
          <w:tcPr>
            <w:tcW w:type="dxa" w:w="1310"/>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度量</w:t>
            </w:r>
          </w:p>
        </w:tc>
        <w:tc>
          <w:tcPr>
            <w:tcW w:type="dxa" w:w="1591"/>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(t,x,y,z)</w:t>
            </w:r>
          </w:p>
        </w:tc>
        <w:tc>
          <w:tcPr>
            <w:tcW w:type="dxa" w:w="2903"/>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完整度量方案</w:t>
            </w:r>
          </w:p>
        </w:tc>
      </w:tr>
    </w:tbl>
    <w:p>
      <w:pPr>
        <w:spacing w:after="70" w:before="70" w:line="340"/>
        <w:ind w:firstLine="420"/>
      </w:pPr>
      <w:r>
        <w:rPr>
          <w:rFonts w:ascii="Times New Roman" w:eastAsia="SimSun" w:hAnsi="SimSun"/>
          <w:b w:val="false"/>
          <w:bCs w:val="false"/>
        </w:rPr>
        <w:t xml:space="preserve">G3、M3、M2、G4 构成（池化坐标）×（位置编码坐标）的 2×2 设计，可把“坐标系是否起作用”分解为两个主效应与一个交互项。两个坐标错配对照是该设计的关键：有了它们，G4 与 G3 的差异才能归因到具体的某一侧。</w:t>
      </w:r>
    </w:p>
    <w:p>
      <w:pPr>
        <w:pStyle w:val="Heading2"/>
        <w:spacing w:after="140" w:before="260"/>
      </w:pPr>
      <w:r>
        <w:rPr>
          <w:rFonts w:ascii="Arial" w:eastAsia="SimHei" w:hAnsi="SimHei"/>
          <w:b/>
          <w:bCs/>
          <w:color w:val="000000"/>
          <w:sz w:val="24"/>
          <w:szCs w:val="24"/>
        </w:rPr>
        <w:t xml:space="preserve">2.4 实验规范</w:t>
      </w:r>
    </w:p>
    <w:p>
      <w:pPr>
        <w:spacing w:after="70" w:before="70" w:line="340"/>
        <w:ind w:firstLine="420"/>
      </w:pPr>
      <w:r>
        <w:rPr>
          <w:rFonts w:ascii="Times New Roman" w:eastAsia="SimSun" w:hAnsi="SimSun"/>
          <w:b w:val="false"/>
          <w:bCs w:val="false"/>
        </w:rPr>
        <w:t xml:space="preserve">为使结果可核验、可复现，本项目在流程上固定了四条规范。</w:t>
      </w:r>
    </w:p>
    <w:p>
      <w:pPr>
        <w:pStyle w:val="ListParagraph"/>
        <w:numPr>
          <w:ilvl w:val="0"/>
          <w:numId w:val="2"/>
        </w:numPr>
        <w:spacing w:after="50" w:before="50" w:line="340"/>
      </w:pPr>
      <w:r>
        <w:rPr>
          <w:rFonts w:ascii="Times New Roman" w:eastAsia="SimSun" w:hAnsi="SimSun"/>
          <w:b w:val="false"/>
          <w:bCs w:val="false"/>
        </w:rPr>
        <w:t xml:space="preserve"/>
      </w:r>
      <w:r>
        <w:rPr>
          <w:rFonts w:ascii="Times New Roman" w:eastAsia="SimSun" w:hAnsi="SimSun"/>
          <w:b/>
          <w:bCs/>
        </w:rPr>
        <w:t xml:space="preserve">事前登记。</w:t>
      </w:r>
      <w:r>
        <w:rPr>
          <w:rFonts w:ascii="Times New Roman" w:eastAsia="SimSun" w:hAnsi="SimSun"/>
          <w:b w:val="false"/>
          <w:bCs w:val="false"/>
        </w:rPr>
        <w:t xml:space="preserve">每次主实验开始之前，判据表、样本量估计与决策规则先行写定。本项目已执行两次事前登记，第二次在 9 月 20 日按规则触发了路线决策。</w:t>
      </w:r>
    </w:p>
    <w:p>
      <w:pPr>
        <w:pStyle w:val="ListParagraph"/>
        <w:numPr>
          <w:ilvl w:val="0"/>
          <w:numId w:val="2"/>
        </w:numPr>
        <w:spacing w:after="50" w:before="50" w:line="340"/>
      </w:pPr>
      <w:r>
        <w:rPr>
          <w:rFonts w:ascii="Times New Roman" w:eastAsia="SimSun" w:hAnsi="SimSun"/>
          <w:b w:val="false"/>
          <w:bCs w:val="false"/>
        </w:rPr>
        <w:t xml:space="preserve"/>
      </w:r>
      <w:r>
        <w:rPr>
          <w:rFonts w:ascii="Times New Roman" w:eastAsia="SimSun" w:hAnsi="SimSun"/>
          <w:b/>
          <w:bCs/>
        </w:rPr>
        <w:t xml:space="preserve">统一代码路径。</w:t>
      </w:r>
      <w:r>
        <w:rPr>
          <w:rFonts w:ascii="Times New Roman" w:eastAsia="SimSun" w:hAnsi="SimSun"/>
          <w:b w:val="false"/>
          <w:bCs w:val="false"/>
        </w:rPr>
        <w:t xml:space="preserve">七组对照共用一份接线实现，杜绝组间实现差异。</w:t>
      </w:r>
    </w:p>
    <w:p>
      <w:pPr>
        <w:pStyle w:val="ListParagraph"/>
        <w:numPr>
          <w:ilvl w:val="0"/>
          <w:numId w:val="2"/>
        </w:numPr>
        <w:spacing w:after="50" w:before="50" w:line="340"/>
      </w:pPr>
      <w:r>
        <w:rPr>
          <w:rFonts w:ascii="Times New Roman" w:eastAsia="SimSun" w:hAnsi="SimSun"/>
          <w:b w:val="false"/>
          <w:bCs w:val="false"/>
        </w:rPr>
        <w:t xml:space="preserve"/>
      </w:r>
      <w:r>
        <w:rPr>
          <w:rFonts w:ascii="Times New Roman" w:eastAsia="SimSun" w:hAnsi="SimSun"/>
          <w:b/>
          <w:bCs/>
        </w:rPr>
        <w:t xml:space="preserve">来源记录。</w:t>
      </w:r>
      <w:r>
        <w:rPr>
          <w:rFonts w:ascii="Times New Roman" w:eastAsia="SimSun" w:hAnsi="SimSun"/>
          <w:b w:val="false"/>
          <w:bCs w:val="false"/>
        </w:rPr>
        <w:t xml:space="preserve">训练与评测各自产出结构化的来源元数据，包括配置、源码哈希、权重哈希、动作统计量与初始状态哈希；完整 checkpoint 路径与配置参与日志身份，默认拒绝覆盖已有记录。</w:t>
      </w:r>
    </w:p>
    <w:p>
      <w:pPr>
        <w:pStyle w:val="ListParagraph"/>
        <w:numPr>
          <w:ilvl w:val="0"/>
          <w:numId w:val="2"/>
        </w:numPr>
        <w:spacing w:after="50" w:before="50" w:line="340"/>
      </w:pPr>
      <w:r>
        <w:rPr>
          <w:rFonts w:ascii="Times New Roman" w:eastAsia="SimSun" w:hAnsi="SimSun"/>
          <w:b w:val="false"/>
          <w:bCs w:val="false"/>
        </w:rPr>
        <w:t xml:space="preserve"/>
      </w:r>
      <w:r>
        <w:rPr>
          <w:rFonts w:ascii="Times New Roman" w:eastAsia="SimSun" w:hAnsi="SimSun"/>
          <w:b/>
          <w:bCs/>
        </w:rPr>
        <w:t xml:space="preserve">回归测试。</w:t>
      </w:r>
      <w:r>
        <w:rPr>
          <w:rFonts w:ascii="Times New Roman" w:eastAsia="SimSun" w:hAnsi="SimSun"/>
          <w:b w:val="false"/>
          <w:bCs w:val="false"/>
        </w:rPr>
        <w:t xml:space="preserve">当前 73 项测试全部通过，覆盖池化算子在各种历史长度下的行为、诊断开关不改变被测量、导出格式的版本与字段校验、诊断表的验收规则，以及受限改版对最新帧的处理与帧独立方案逐位一致等。</w:t>
      </w:r>
    </w:p>
    <w:p>
      <w:pPr>
        <w:pStyle w:val="Heading1"/>
        <w:spacing w:after="140" w:before="360"/>
      </w:pPr>
      <w:r>
        <w:rPr>
          <w:rFonts w:ascii="Arial" w:eastAsia="SimHei" w:hAnsi="SimHei"/>
          <w:b/>
          <w:bCs/>
          <w:color w:val="000000"/>
          <w:sz w:val="30"/>
          <w:szCs w:val="30"/>
        </w:rPr>
        <w:t xml:space="preserve">三、系统实现</w:t>
      </w:r>
    </w:p>
    <w:p>
      <w:pPr>
        <w:pStyle w:val="Heading2"/>
        <w:spacing w:after="140" w:before="260"/>
      </w:pPr>
      <w:r>
        <w:rPr>
          <w:rFonts w:ascii="Arial" w:eastAsia="SimHei" w:hAnsi="SimHei"/>
          <w:b/>
          <w:bCs/>
          <w:color w:val="000000"/>
          <w:sz w:val="24"/>
          <w:szCs w:val="24"/>
        </w:rPr>
        <w:t xml:space="preserve">3.1 数据侧：带间隔的 K 帧窗口</w:t>
      </w:r>
    </w:p>
    <w:p>
      <w:pPr>
        <w:spacing w:after="70" w:before="70" w:line="340"/>
        <w:ind w:firstLine="420"/>
      </w:pPr>
      <w:r>
        <w:rPr>
          <w:rFonts w:ascii="Times New Roman" w:eastAsia="SimSun" w:hAnsi="SimSun"/>
          <w:b w:val="false"/>
          <w:bCs w:val="false"/>
        </w:rPr>
        <w:t xml:space="preserve">官方 RLDS 数据管线只支持连续窗口，我们替换了分窗函数以支持带间隔的历史采样（K = 8，stride = 16），窗口开头历史不足时重复最早一帧并置补帧掩码。帧间隔由实测确定：以特征距离比值落在 0.5 至 0.8 带内为判据，带内取最小值以减少补帧。</w:t>
      </w:r>
    </w:p>
    <w:p>
      <w:pPr>
        <w:pStyle w:val="Heading2"/>
        <w:spacing w:after="140" w:before="260"/>
      </w:pPr>
      <w:r>
        <w:rPr>
          <w:rFonts w:ascii="Arial" w:eastAsia="SimHei" w:hAnsi="SimHei"/>
          <w:b/>
          <w:bCs/>
          <w:color w:val="000000"/>
          <w:sz w:val="24"/>
          <w:szCs w:val="24"/>
        </w:rPr>
        <w:t xml:space="preserve">3.2 模型侧：一份接线产生全部对照</w:t>
      </w:r>
    </w:p>
    <w:p>
      <w:pPr>
        <w:spacing w:after="70" w:before="70" w:line="340"/>
        <w:ind w:firstLine="420"/>
      </w:pPr>
      <w:r>
        <w:rPr>
          <w:rFonts w:ascii="Times New Roman" w:eastAsia="SimSun" w:hAnsi="SimSun"/>
          <w:b w:val="false"/>
          <w:bCs w:val="false"/>
        </w:rPr>
        <w:t xml:space="preserve">共三个挂载点：视觉主干（K 帧分块前向）、投影器（执行池化并给出位置编码所需坐标）、每一层的 rotary_emb（4D RoPE 采用扩展式，保留原有 1D 通路）。池化算子为等量分箱，在图像网格坐标上与均匀体素逐位等价，在真值深度上把预算占用从 240 提高到 256。</w:t>
      </w:r>
    </w:p>
    <w:p>
      <w:pPr>
        <w:spacing w:after="70" w:before="70" w:line="340"/>
        <w:ind w:firstLine="420"/>
      </w:pPr>
      <w:r>
        <w:rPr>
          <w:rFonts w:ascii="Times New Roman" w:eastAsia="SimSun" w:hAnsi="SimSun"/>
          <w:b w:val="false"/>
          <w:bCs w:val="false"/>
        </w:rPr>
        <w:t xml:space="preserve">池化的位置处理来自前期的一项实测结论：把压缩后 token 的位置还原为其成分 patch 的质心，成功率从 18.0% 提高到 72.5%。这说明压缩带来的性能损失主要来自位置偏移而非信息丢失，也是“用坐标组织压缩”这一设计的出发点。</w:t>
      </w:r>
    </w:p>
    <w:p>
      <w:pPr>
        <w:spacing w:after="70" w:before="70" w:line="340"/>
        <w:ind w:firstLine="420"/>
      </w:pPr>
      <w:r>
        <w:rPr>
          <w:rFonts w:ascii="Times New Roman" w:eastAsia="SimSun" w:hAnsi="SimSun"/>
          <w:b w:val="false"/>
          <w:bCs w:val="false"/>
        </w:rPr>
        <w:t xml:space="preserve">接线在真实 7B 模型上通过四项检查，其中两项具有证伪能力：改变深度输入时 G4 的输出随之变化而 G3 精确不变，说明度量坐标确实进入了模型；G4 与 M2 的 logits 不同，说明位置编码侧的坐标确实起作用。</w:t>
      </w:r>
    </w:p>
    <w:p>
      <w:pPr>
        <w:pStyle w:val="Heading2"/>
        <w:spacing w:after="140" w:before="260"/>
      </w:pPr>
      <w:r>
        <w:rPr>
          <w:rFonts w:ascii="Arial" w:eastAsia="SimHei" w:hAnsi="SimHei"/>
          <w:b/>
          <w:bCs/>
          <w:color w:val="000000"/>
          <w:sz w:val="24"/>
          <w:szCs w:val="24"/>
        </w:rPr>
        <w:t xml:space="preserve">3.3 评测侧</w:t>
      </w:r>
    </w:p>
    <w:p>
      <w:pPr>
        <w:spacing w:after="70" w:before="70" w:line="340"/>
        <w:ind w:firstLine="420"/>
      </w:pPr>
      <w:r>
        <w:rPr>
          <w:rFonts w:ascii="Times New Roman" w:eastAsia="SimSun" w:hAnsi="SimSun"/>
          <w:b w:val="false"/>
          <w:bCs w:val="false"/>
        </w:rPr>
        <w:t xml:space="preserve">LIBERO-Long 10 个任务，每任务 50 个确定性初始状态，构成 500 局的满量评测。两项工程优化：视觉特征缓存（视觉主干冻结，同一帧的特征逐位相同，已用逐位对拍验证，整体提速约 20%）与批量评测（eval_batch = 8）。每局的成功与否单独落盘，因此任何两种方法之间都可以按相同初始状态做逐局配对分析。</w:t>
      </w:r>
    </w:p>
    <w:p>
      <w:pPr>
        <w:pStyle w:val="Heading2"/>
        <w:spacing w:after="140" w:before="260"/>
      </w:pPr>
      <w:r>
        <w:rPr>
          <w:rFonts w:ascii="Arial" w:eastAsia="SimHei" w:hAnsi="SimHei"/>
          <w:b/>
          <w:bCs/>
          <w:color w:val="000000"/>
          <w:sz w:val="24"/>
          <w:szCs w:val="24"/>
        </w:rPr>
        <w:t xml:space="preserve">3.4 诊断与演示工具</w:t>
      </w:r>
    </w:p>
    <w:p>
      <w:pPr>
        <w:spacing w:after="70" w:before="70" w:line="340"/>
        <w:ind w:firstLine="420"/>
      </w:pPr>
      <w:r>
        <w:rPr>
          <w:rFonts w:ascii="Times New Roman" w:eastAsia="SimSun" w:hAnsi="SimSun"/>
          <w:b w:val="false"/>
          <w:bCs w:val="false"/>
        </w:rPr>
        <w:t xml:space="preserve">为支撑机制分析与结项演示，本阶段实现了一套默认关闭的只读记录能力，开启后不改变评测路径、随机数顺序与成功判定：</w:t>
      </w:r>
    </w:p>
    <w:p>
      <w:pPr>
        <w:pStyle w:val="ListParagraph"/>
        <w:numPr>
          <w:ilvl w:val="0"/>
          <w:numId w:val="2"/>
        </w:numPr>
        <w:spacing w:after="50" w:before="50" w:line="340"/>
      </w:pPr>
      <w:r>
        <w:rPr>
          <w:rFonts w:ascii="Times New Roman" w:eastAsia="SimSun" w:hAnsi="SimSun"/>
          <w:b w:val="false"/>
          <w:bCs w:val="false"/>
        </w:rPr>
        <w:t xml:space="preserve"/>
      </w:r>
      <w:r>
        <w:rPr>
          <w:rFonts w:ascii="Times New Roman" w:eastAsia="SimSun" w:hAnsi="SimSun"/>
          <w:b/>
          <w:bCs/>
        </w:rPr>
        <w:t xml:space="preserve">轨迹导出。</w:t>
      </w:r>
      <w:r>
        <w:rPr>
          <w:rFonts w:ascii="Times New Roman" w:eastAsia="SimSun" w:hAnsi="SimSun"/>
          <w:b w:val="false"/>
          <w:bCs w:val="false"/>
        </w:rPr>
        <w:t xml:space="preserve">逐步记录动作、环境步、成功状态、八个历史帧的来源步编号与关键帧图像，采用逐行可恢复格式并原子发布，带 schema 版本，读取器对缺字段给出明确错误。</w:t>
      </w:r>
    </w:p>
    <w:p>
      <w:pPr>
        <w:pStyle w:val="ListParagraph"/>
        <w:numPr>
          <w:ilvl w:val="0"/>
          <w:numId w:val="2"/>
        </w:numPr>
        <w:spacing w:after="50" w:before="50" w:line="340"/>
      </w:pPr>
      <w:r>
        <w:rPr>
          <w:rFonts w:ascii="Times New Roman" w:eastAsia="SimSun" w:hAnsi="SimSun"/>
          <w:b w:val="false"/>
          <w:bCs w:val="false"/>
        </w:rPr>
        <w:t xml:space="preserve"/>
      </w:r>
      <w:r>
        <w:rPr>
          <w:rFonts w:ascii="Times New Roman" w:eastAsia="SimSun" w:hAnsi="SimSun"/>
          <w:b/>
          <w:bCs/>
        </w:rPr>
        <w:t xml:space="preserve">token 来源统计。</w:t>
      </w:r>
      <w:r>
        <w:rPr>
          <w:rFonts w:ascii="Times New Roman" w:eastAsia="SimSun" w:hAnsi="SimSun"/>
          <w:b w:val="false"/>
          <w:bCs w:val="false"/>
        </w:rPr>
        <w:t xml:space="preserve">记录每个输出 token 的来源帧、贡献 patch 数与权重，由此可得最新帧的贡献质量、仅由最新帧构成的 token 数、跨帧混合 token 比例、每个 token 覆盖的时间跨度，以及补帧与真实历史帧的区分。</w:t>
      </w:r>
    </w:p>
    <w:p>
      <w:pPr>
        <w:pStyle w:val="ListParagraph"/>
        <w:numPr>
          <w:ilvl w:val="0"/>
          <w:numId w:val="2"/>
        </w:numPr>
        <w:spacing w:after="50" w:before="50" w:line="340"/>
      </w:pPr>
      <w:r>
        <w:rPr>
          <w:rFonts w:ascii="Times New Roman" w:eastAsia="SimSun" w:hAnsi="SimSun"/>
          <w:b w:val="false"/>
          <w:bCs w:val="false"/>
        </w:rPr>
        <w:t xml:space="preserve"/>
      </w:r>
      <w:r>
        <w:rPr>
          <w:rFonts w:ascii="Times New Roman" w:eastAsia="SimSun" w:hAnsi="SimSun"/>
          <w:b/>
          <w:bCs/>
        </w:rPr>
        <w:t xml:space="preserve">固定案例启动器。</w:t>
      </w:r>
      <w:r>
        <w:rPr>
          <w:rFonts w:ascii="Times New Roman" w:eastAsia="SimSun" w:hAnsi="SimSun"/>
          <w:b w:val="false"/>
          <w:bCs w:val="false"/>
        </w:rPr>
        <w:t xml:space="preserve">按预先冻结的案例清单运行指定的任务与局次，输出明确标记为案例集，不会与正式结果混淆。</w:t>
      </w:r>
    </w:p>
    <w:p>
      <w:pPr>
        <w:pStyle w:val="ListParagraph"/>
        <w:numPr>
          <w:ilvl w:val="0"/>
          <w:numId w:val="2"/>
        </w:numPr>
        <w:spacing w:after="50" w:before="50" w:line="340"/>
      </w:pPr>
      <w:r>
        <w:rPr>
          <w:rFonts w:ascii="Times New Roman" w:eastAsia="SimSun" w:hAnsi="SimSun"/>
          <w:b w:val="false"/>
          <w:bCs w:val="false"/>
        </w:rPr>
        <w:t xml:space="preserve"/>
      </w:r>
      <w:r>
        <w:rPr>
          <w:rFonts w:ascii="Times New Roman" w:eastAsia="SimSun" w:hAnsi="SimSun"/>
          <w:b/>
          <w:bCs/>
        </w:rPr>
        <w:t xml:space="preserve">诊断表与回放演示生成。</w:t>
      </w:r>
      <w:r>
        <w:rPr>
          <w:rFonts w:ascii="Times New Roman" w:eastAsia="SimSun" w:hAnsi="SimSun"/>
          <w:b w:val="false"/>
          <w:bCs w:val="false"/>
        </w:rPr>
        <w:t xml:space="preserve">一条命令完成案例目录的验收（局数、元数据、关键帧、数值）并输出逐局、按历史长度与按帧位置的统计表；另一条命令把同一局中各方法按环境步对齐，生成回放视频与静态拼图。二者均不需要 GPU。</w:t>
      </w:r>
    </w:p>
    <w:p>
      <w:pPr>
        <w:pStyle w:val="ListParagraph"/>
        <w:numPr>
          <w:ilvl w:val="0"/>
          <w:numId w:val="2"/>
        </w:numPr>
        <w:spacing w:after="50" w:before="50" w:line="340"/>
      </w:pPr>
      <w:r>
        <w:rPr>
          <w:rFonts w:ascii="Times New Roman" w:eastAsia="SimSun" w:hAnsi="SimSun"/>
          <w:b w:val="false"/>
          <w:bCs w:val="false"/>
        </w:rPr>
        <w:t xml:space="preserve"/>
      </w:r>
      <w:r>
        <w:rPr>
          <w:rFonts w:ascii="Times New Roman" w:eastAsia="SimSun" w:hAnsi="SimSun"/>
          <w:b/>
          <w:bCs/>
        </w:rPr>
        <w:t xml:space="preserve">离线分配对照。</w:t>
      </w:r>
      <w:r>
        <w:rPr>
          <w:rFonts w:ascii="Times New Roman" w:eastAsia="SimSun" w:hAnsi="SimSun"/>
          <w:b w:val="false"/>
          <w:bCs w:val="false"/>
        </w:rPr>
        <w:t xml:space="preserve">沿用训练与评测同一份池化代码，在 1 至 8 个真实帧下比较各方法的 token 分配，并与真实运行的诊断结果逐项核对。</w:t>
      </w:r>
    </w:p>
    <w:p>
      <w:pPr>
        <w:spacing w:after="70" w:before="70" w:line="340"/>
        <w:ind w:firstLine="420"/>
      </w:pPr>
      <w:r>
        <w:rPr>
          <w:rFonts w:ascii="Times New Roman" w:eastAsia="SimSun" w:hAnsi="SimSun"/>
          <w:b w:val="false"/>
          <w:bCs w:val="false"/>
        </w:rPr>
        <w:t xml:space="preserve">其中“每帧分到多少 token”需要先有定义：跨帧池化的一个输出 token 由多帧共同构成，因此我们采用按 patch 计数的分数归属，各帧贡献之和等于实际使用的 token 数。该定义随结论一同给出。</w:t>
      </w:r>
    </w:p>
    <w:p>
      <w:pPr>
        <w:pStyle w:val="Heading1"/>
        <w:spacing w:after="140" w:before="360"/>
      </w:pPr>
      <w:r>
        <w:rPr>
          <w:rFonts w:ascii="Arial" w:eastAsia="SimHei" w:hAnsi="SimHei"/>
          <w:b/>
          <w:bCs/>
          <w:color w:val="000000"/>
          <w:sz w:val="30"/>
          <w:szCs w:val="30"/>
        </w:rPr>
        <w:t xml:space="preserve">四、实验结果</w:t>
      </w:r>
    </w:p>
    <w:p>
      <w:pPr>
        <w:pStyle w:val="Heading2"/>
        <w:spacing w:after="140" w:before="260"/>
      </w:pPr>
      <w:r>
        <w:rPr>
          <w:rFonts w:ascii="Arial" w:eastAsia="SimHei" w:hAnsi="SimHei"/>
          <w:b/>
          <w:bCs/>
          <w:color w:val="000000"/>
          <w:sz w:val="24"/>
          <w:szCs w:val="24"/>
        </w:rPr>
        <w:t xml:space="preserve">4.1 链路与前提验证</w:t>
      </w:r>
    </w:p>
    <w:p>
      <w:pPr>
        <w:spacing w:after="70" w:before="70" w:line="340"/>
        <w:ind w:firstLine="420"/>
      </w:pPr>
      <w:r>
        <w:rPr>
          <w:rFonts w:ascii="Times New Roman" w:eastAsia="SimSun" w:hAnsi="SimSun"/>
          <w:b w:val="false"/>
          <w:bCs w:val="false"/>
        </w:rPr>
        <w:t xml:space="preserve">主实验之前先完成一批具有证伪能力的前置验证，以保证后续结果可归因于设计变量。</w:t>
      </w:r>
    </w:p>
    <w:p>
      <w:pPr>
        <w:keepNext/>
        <w:spacing w:after="90" w:before="200"/>
      </w:pPr>
      <w:r>
        <w:rPr>
          <w:rFonts w:ascii="Times New Roman" w:eastAsia="SimSun" w:hAnsi="SimSun"/>
          <w:b/>
          <w:bCs/>
          <w:sz w:val="19"/>
          <w:szCs w:val="19"/>
        </w:rPr>
        <w:t xml:space="preserve">表 4-1  前置验证</w:t>
      </w:r>
    </w:p>
    <w:tbl>
      <w:tblPr>
        <w:tblW w:type="dxa" w:w="9360"/>
        <w:tblBorders>
          <w:top w:val="single" w:color="7F7F7F" w:sz="8"/>
          <w:left w:val="single" w:color="BFBFBF" w:sz="4"/>
          <w:bottom w:val="single" w:color="7F7F7F" w:sz="8"/>
          <w:right w:val="single" w:color="BFBFBF" w:sz="4"/>
          <w:insideH w:val="single" w:color="BFBFBF" w:sz="4"/>
          <w:insideV w:val="single" w:color="BFBFBF" w:sz="4"/>
        </w:tblBorders>
      </w:tblPr>
      <w:tblGrid>
        <w:gridCol w:w="2808"/>
        <w:gridCol w:w="2340"/>
        <w:gridCol w:w="2995"/>
        <w:gridCol w:w="1217"/>
      </w:tblGrid>
      <w:tr>
        <w:trPr>
          <w:cantSplit/>
          <w:tblHeader/>
        </w:trPr>
        <w:tc>
          <w:tcPr>
            <w:tcW w:type="dxa" w:w="2808"/>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验证项</w:t>
            </w:r>
          </w:p>
        </w:tc>
        <w:tc>
          <w:tcPr>
            <w:tcW w:type="dxa" w:w="2340"/>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事前判据</w:t>
            </w:r>
          </w:p>
        </w:tc>
        <w:tc>
          <w:tcPr>
            <w:tcW w:type="dxa" w:w="2995"/>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实测</w:t>
            </w:r>
          </w:p>
        </w:tc>
        <w:tc>
          <w:tcPr>
            <w:tcW w:type="dxa" w:w="1217"/>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结论</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评测链路在 K=1 上的正确性</w:t>
            </w:r>
          </w:p>
        </w:tc>
        <w:tc>
          <w:tcPr>
            <w:tcW w:type="dxa" w:w="2340"/>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官方 checkpoint 走本链路不低于 45.8%</w:t>
            </w:r>
          </w:p>
        </w:tc>
        <w:tc>
          <w:tcPr>
            <w:tcW w:type="dxa" w:w="2995"/>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48.2%（241/500），参考实现 52.0%，p = 0.23</w:t>
            </w:r>
          </w:p>
        </w:tc>
        <w:tc>
          <w:tcPr>
            <w:tcW w:type="dxa" w:w="1217"/>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通过</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度量方案的物理基础</w:t>
            </w:r>
          </w:p>
        </w:tc>
        <w:tc>
          <w:tcPr>
            <w:tcW w:type="dxa" w:w="2340"/>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跨帧深度跳变率与幅度均超过 15%</w:t>
            </w:r>
          </w:p>
        </w:tc>
        <w:tc>
          <w:tcPr>
            <w:tcW w:type="dxa" w:w="2995"/>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23.5% 与 19.2%</w:t>
            </w:r>
          </w:p>
        </w:tc>
        <w:tc>
          <w:tcPr>
            <w:tcW w:type="dxa" w:w="1217"/>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通过</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相机反投影精度</w:t>
            </w:r>
          </w:p>
        </w:tc>
        <w:tc>
          <w:tcPr>
            <w:tcW w:type="dxa" w:w="2340"/>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以仿真器 site 世界坐标为锚点</w:t>
            </w:r>
          </w:p>
        </w:tc>
        <w:tc>
          <w:tcPr>
            <w:tcW w:type="dxa" w:w="2995"/>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p10 = 0.45 cm</w:t>
            </w:r>
          </w:p>
        </w:tc>
        <w:tc>
          <w:tcPr>
            <w:tcW w:type="dxa" w:w="1217"/>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通过</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模型接线是否生效</w:t>
            </w:r>
          </w:p>
        </w:tc>
        <w:tc>
          <w:tcPr>
            <w:tcW w:type="dxa" w:w="2340"/>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四项，其中两项可证伪</w:t>
            </w:r>
          </w:p>
        </w:tc>
        <w:tc>
          <w:tcPr>
            <w:tcW w:type="dxa" w:w="2995"/>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四项全部通过</w:t>
            </w:r>
          </w:p>
        </w:tc>
        <w:tc>
          <w:tcPr>
            <w:tcW w:type="dxa" w:w="1217"/>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通过</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显存与历史长度的关系</w:t>
            </w:r>
          </w:p>
        </w:tc>
        <w:tc>
          <w:tcPr>
            <w:tcW w:type="dxa" w:w="2340"/>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实测</w:t>
            </w:r>
          </w:p>
        </w:tc>
        <w:tc>
          <w:tcPr>
            <w:tcW w:type="dxa" w:w="2995"/>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冻结视觉主干时 K=8 为 17.4 GB，K=16 为 19.2 GB</w:t>
            </w:r>
          </w:p>
        </w:tc>
        <w:tc>
          <w:tcPr>
            <w:tcW w:type="dxa" w:w="1217"/>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不构成瓶颈</w:t>
            </w:r>
          </w:p>
        </w:tc>
      </w:tr>
    </w:tbl>
    <w:p>
      <w:pPr>
        <w:pStyle w:val="Heading2"/>
        <w:spacing w:after="140" w:before="260"/>
      </w:pPr>
      <w:r>
        <w:rPr>
          <w:rFonts w:ascii="Arial" w:eastAsia="SimHei" w:hAnsi="SimHei"/>
          <w:b/>
          <w:bCs/>
          <w:color w:val="000000"/>
          <w:sz w:val="24"/>
          <w:szCs w:val="24"/>
        </w:rPr>
        <w:t xml:space="preserve">4.2 主结果</w:t>
      </w:r>
    </w:p>
    <w:p>
      <w:pPr>
        <w:spacing w:after="70" w:before="70" w:line="340"/>
        <w:ind w:firstLine="420"/>
      </w:pPr>
      <w:r>
        <w:rPr>
          <w:rFonts w:ascii="Times New Roman" w:eastAsia="SimSun" w:hAnsi="SimSun"/>
          <w:b w:val="false"/>
          <w:bCs w:val="false"/>
        </w:rPr>
        <w:t xml:space="preserve">表 1-1 给出了三种方法在同一训练条件下的成功率。按事前登记的辅助口径（排除 task 1，该任务在固定子集中的覆盖率仅 4%）：G2 为 41.56%（187/450），G3 为 23.78%（107/450），差 −17.78 点。逐任务看，G3 在十个任务中有八个低于 G2；差距最大的是 task 2（−42 点）与 task 4（−30 点），而 task 3 上 G3 高出 20 点。</w:t>
      </w:r>
    </w:p>
    <w:p>
      <w:pPr>
        <w:spacing w:after="70" w:before="70" w:line="340"/>
        <w:ind w:firstLine="420"/>
      </w:pPr>
      <w:r>
        <w:rPr>
          <w:rFonts w:ascii="Times New Roman" w:eastAsia="SimSun" w:hAnsi="SimSun"/>
          <w:b w:val="false"/>
          <w:bCs w:val="false"/>
        </w:rPr>
        <w:t xml:space="preserve">关于基线的绝对水平：G0 的 23.40% 与官方 checkpoint 在同一链路上的 48.2% 之间的差距，来自训练充分程度——同数据同路径下，官方的动作 token 准确率为 0.9958，本项目 G0 为 0.705；G0 的准确率曲线到最后 5 000 步仍以每千步 +0.0117 上升。三种方法处于同一训练预算下，因此组间比较成立；与文献绝对值并列时需说明这一条件。</w:t>
      </w:r>
    </w:p>
    <w:p>
      <w:pPr>
        <w:pStyle w:val="Heading2"/>
        <w:spacing w:after="140" w:before="260"/>
      </w:pPr>
      <w:r>
        <w:rPr>
          <w:rFonts w:ascii="Arial" w:eastAsia="SimHei" w:hAnsi="SimHei"/>
          <w:b/>
          <w:bCs/>
          <w:color w:val="000000"/>
          <w:sz w:val="24"/>
          <w:szCs w:val="24"/>
        </w:rPr>
        <w:t xml:space="preserve">4.3 预算翻倍下的稳健性</w:t>
      </w:r>
    </w:p>
    <w:p>
      <w:pPr>
        <w:spacing w:after="70" w:before="70" w:line="340"/>
        <w:ind w:firstLine="420"/>
      </w:pPr>
      <w:r>
        <w:rPr>
          <w:rFonts w:ascii="Times New Roman" w:eastAsia="SimSun" w:hAnsi="SimSun"/>
          <w:b w:val="false"/>
          <w:bCs w:val="false"/>
        </w:rPr>
        <w:t xml:space="preserve">为检验 L0 不只在某一训练预算下成立，我们在 50 000 步上重复了 G0 与 G2：31.8% 提高到 48.0%，差 16.2 点，z = 5.31，p = 1.1e-7，置信区间 [10.2, 22.2]，事前阈值为点估计不低于 10.7 点。G2 在 50 000 步上的 48.0% 与官方在同一链路上的 48.2% 相当，而本项目冻结了视觉主干、训练样本量约为官方的 1/53。</w:t>
      </w:r>
    </w:p>
    <w:p>
      <w:pPr>
        <w:spacing w:after="70" w:before="70" w:line="340"/>
        <w:ind w:firstLine="420"/>
      </w:pPr>
      <w:r>
        <w:rPr>
          <w:rFonts w:ascii="Times New Roman" w:eastAsia="SimSun" w:hAnsi="SimSun"/>
          <w:b w:val="false"/>
          <w:bCs w:val="false"/>
        </w:rPr>
        <w:t xml:space="preserve">需要说明口径：16.2 点来自 50 000 步的 G2 与 G0，18.60 点来自 30 000 步的 G3 与 G2，两者训练预算不同；主结果表统一使用 30 000 步这一组。</w:t>
      </w:r>
    </w:p>
    <w:p>
      <w:pPr>
        <w:pStyle w:val="Heading2"/>
        <w:spacing w:after="140" w:before="260"/>
      </w:pPr>
      <w:r>
        <w:rPr>
          <w:rFonts w:ascii="Arial" w:eastAsia="SimHei" w:hAnsi="SimHei"/>
          <w:b/>
          <w:bCs/>
          <w:color w:val="000000"/>
          <w:sz w:val="24"/>
          <w:szCs w:val="24"/>
        </w:rPr>
        <w:t xml:space="preserve">4.4 坐标系对照</w:t>
      </w:r>
    </w:p>
    <w:p>
      <w:pPr>
        <w:keepNext/>
        <w:spacing w:after="90" w:before="200"/>
      </w:pPr>
      <w:r>
        <w:rPr>
          <w:rFonts w:ascii="Times New Roman" w:eastAsia="SimSun" w:hAnsi="SimSun"/>
          <w:b/>
          <w:bCs/>
          <w:sz w:val="19"/>
          <w:szCs w:val="19"/>
        </w:rPr>
        <w:t xml:space="preserve">表 4-2  2×2 主效应分解（9 任务口径，固定子集训练）</w:t>
      </w:r>
    </w:p>
    <w:tbl>
      <w:tblPr>
        <w:tblW w:type="dxa" w:w="9360"/>
        <w:tblBorders>
          <w:top w:val="single" w:color="7F7F7F" w:sz="8"/>
          <w:left w:val="single" w:color="BFBFBF" w:sz="4"/>
          <w:bottom w:val="single" w:color="7F7F7F" w:sz="8"/>
          <w:right w:val="single" w:color="BFBFBF" w:sz="4"/>
          <w:insideH w:val="single" w:color="BFBFBF" w:sz="4"/>
          <w:insideV w:val="single" w:color="BFBFBF" w:sz="4"/>
        </w:tblBorders>
      </w:tblPr>
      <w:tblGrid>
        <w:gridCol w:w="3557"/>
        <w:gridCol w:w="2808"/>
        <w:gridCol w:w="2995"/>
      </w:tblGrid>
      <w:tr>
        <w:trPr>
          <w:cantSplit/>
          <w:tblHeader/>
        </w:trPr>
        <w:tc>
          <w:tcPr>
            <w:tcW w:type="dxa" w:w="3557"/>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项</w:t>
            </w:r>
          </w:p>
        </w:tc>
        <w:tc>
          <w:tcPr>
            <w:tcW w:type="dxa" w:w="2808"/>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点估计</w:t>
            </w:r>
          </w:p>
        </w:tc>
        <w:tc>
          <w:tcPr>
            <w:tcW w:type="dxa" w:w="2995"/>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判读</w:t>
            </w:r>
          </w:p>
        </w:tc>
      </w:tr>
      <w:tr>
        <w:trPr>
          <w:cantSplit/>
          <w:tblHeader w:val="false"/>
        </w:trPr>
        <w:tc>
          <w:tcPr>
            <w:tcW w:type="dxa" w:w="3557"/>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池化侧改用度量坐标</w:t>
            </w:r>
          </w:p>
        </w:tc>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+4.22 点</w:t>
            </w:r>
          </w:p>
        </w:tc>
        <w:tc>
          <w:tcPr>
            <w:tcW w:type="dxa" w:w="2995"/>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方向为正</w:t>
            </w:r>
          </w:p>
        </w:tc>
      </w:tr>
      <w:tr>
        <w:trPr>
          <w:cantSplit/>
          <w:tblHeader w:val="false"/>
        </w:trPr>
        <w:tc>
          <w:tcPr>
            <w:tcW w:type="dxa" w:w="3557"/>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位置编码侧改用度量坐标</w:t>
            </w:r>
          </w:p>
        </w:tc>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−2.44 点</w:t>
            </w:r>
          </w:p>
        </w:tc>
        <w:tc>
          <w:tcPr>
            <w:tcW w:type="dxa" w:w="2995"/>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方向为负</w:t>
            </w:r>
          </w:p>
        </w:tc>
      </w:tr>
      <w:tr>
        <w:trPr>
          <w:cantSplit/>
          <w:tblHeader w:val="false"/>
        </w:trPr>
        <w:tc>
          <w:tcPr>
            <w:tcW w:type="dxa" w:w="3557"/>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交互项</w:t>
            </w:r>
          </w:p>
        </w:tc>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+3.11 ± 4.17</w:t>
            </w:r>
          </w:p>
        </w:tc>
        <w:tc>
          <w:tcPr>
            <w:tcW w:type="dxa" w:w="2995"/>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不显著</w:t>
            </w:r>
          </w:p>
        </w:tc>
      </w:tr>
      <w:tr>
        <w:trPr>
          <w:cantSplit/>
          <w:tblHeader w:val="false"/>
        </w:trPr>
        <w:tc>
          <w:tcPr>
            <w:tcW w:type="dxa" w:w="3557"/>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L1：G4 − G3</w:t>
            </w:r>
          </w:p>
        </w:tc>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+1.78 点（z = 0.57，p = 0.57）</w:t>
            </w:r>
          </w:p>
        </w:tc>
        <w:tc>
          <w:tcPr>
            <w:tcW w:type="dxa" w:w="2995"/>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未能证实</w:t>
            </w:r>
          </w:p>
        </w:tc>
      </w:tr>
      <w:tr>
        <w:trPr>
          <w:cantSplit/>
          <w:tblHeader w:val="false"/>
        </w:trPr>
        <w:tc>
          <w:tcPr>
            <w:tcW w:type="dxa" w:w="3557"/>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L3：G4 − M2 与 G4 − M3</w:t>
            </w:r>
          </w:p>
        </w:tc>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−0.89 点 与 +5.78 点</w:t>
            </w:r>
          </w:p>
        </w:tc>
        <w:tc>
          <w:tcPr>
            <w:tcW w:type="dxa" w:w="2995"/>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两条须同时为正，故不成立</w:t>
            </w:r>
          </w:p>
        </w:tc>
      </w:tr>
    </w:tbl>
    <w:p>
      <w:pPr>
        <w:spacing w:after="70" w:before="70" w:line="340"/>
        <w:ind w:firstLine="420"/>
      </w:pPr>
      <w:r>
        <w:rPr>
          <w:rFonts w:ascii="Times New Roman" w:eastAsia="SimSun" w:hAnsi="SimSun"/>
          <w:b w:val="false"/>
          <w:bCs w:val="false"/>
        </w:rPr>
        <w:t xml:space="preserve">一个方向性观察：位置编码侧采用度量坐标的主效应点估计为负，而 SpatialVLA 在不池化设定下的 Ego3D 位置编码报告为 +27.3 点。这提示同一套坐标在“参与压缩分配”与“仅作位置编码”两种用法下并不等价。该观察取自固定子集（255/379）训练的四臂，样本条件与主结果不同，目前作为机制线索保留。</w:t>
      </w:r>
    </w:p>
    <w:p>
      <w:pPr>
        <w:pStyle w:val="Heading2"/>
        <w:spacing w:after="140" w:before="260"/>
      </w:pPr>
      <w:r>
        <w:rPr>
          <w:rFonts w:ascii="Arial" w:eastAsia="SimHei" w:hAnsi="SimHei"/>
          <w:b/>
          <w:bCs/>
          <w:color w:val="000000"/>
          <w:sz w:val="24"/>
          <w:szCs w:val="24"/>
        </w:rPr>
        <w:t xml:space="preserve">4.5 补帧条件下的池化算子改进</w:t>
      </w:r>
    </w:p>
    <w:p>
      <w:pPr>
        <w:spacing w:after="70" w:before="70" w:line="340"/>
        <w:ind w:firstLine="420"/>
      </w:pPr>
      <w:r>
        <w:rPr>
          <w:rFonts w:ascii="Times New Roman" w:eastAsia="SimSun" w:hAnsi="SimSun"/>
          <w:b w:val="false"/>
          <w:bCs w:val="false"/>
        </w:rPr>
        <w:t xml:space="preserve">在分析历史长度不足的窗口时，我们定位到分箱实现中的一处边界条件：占用数估计与实际分配使用了两套不一致的时间边界，历史不足时非空箱数会超出预算，按箱排序截断后最新一帧可能被整帧丢弃。</w:t>
      </w:r>
    </w:p>
    <w:p>
      <w:pPr>
        <w:spacing w:after="70" w:before="70" w:line="340"/>
        <w:ind w:firstLine="420"/>
      </w:pPr>
      <w:r>
        <w:rPr>
          <w:rFonts w:ascii="Times New Roman" w:eastAsia="SimSun" w:hAnsi="SimSun"/>
          <w:b w:val="false"/>
          <w:bCs w:val="false"/>
        </w:rPr>
        <w:t xml:space="preserve">在 CPU 上以 K = 8、stride = 16、N = 256、n_t = 2 复现：真实帧数为 2、3、4 时最新帧保留的 patch 数为 0/256，对应 episode 的第 16 至 63 步。帧独立方案不受影响，因为其输出 token 不跨帧。</w:t>
      </w:r>
    </w:p>
    <w:p>
      <w:pPr>
        <w:spacing w:after="70" w:before="70" w:line="340"/>
        <w:ind w:firstLine="420"/>
      </w:pPr>
      <w:r>
        <w:rPr>
          <w:rFonts w:ascii="Times New Roman" w:eastAsia="SimSun" w:hAnsi="SimSun"/>
          <w:b w:val="false"/>
          <w:bCs w:val="false"/>
        </w:rPr>
        <w:t xml:space="preserve">据此实现了固定时间轴与分组轴的分箱模式，自由空间轴继续等量分箱。新模式在完整八帧情形以及帧独立分组上与原实现逐位一致，只改变历史不足时的行为，并保证 1 至 8 个有效帧下全部有效 patch 均被保留；该性质已写入回归测试。</w:t>
      </w:r>
    </w:p>
    <w:p>
      <w:pPr>
        <w:spacing w:after="70" w:before="70" w:line="340"/>
        <w:ind w:firstLine="420"/>
      </w:pPr>
      <w:r>
        <w:rPr>
          <w:rFonts w:ascii="Times New Roman" w:eastAsia="SimSun" w:hAnsi="SimSun"/>
          <w:b w:val="false"/>
          <w:bCs w:val="false"/>
        </w:rPr>
        <w:t xml:space="preserve">随后从底座独立重训了采用新模式的 G3（30 000 步，29.92 小时，RTX 4090，峰值显存 18.99 GB）并做满量评测，得到表 1-1 中的 23.60%。这一结果表明该边界条件虽然真实存在，但不是跨帧联合池化与帧独立方案之间差距的主要成因；机制解释因此转入本阶段的分配诊断。</w:t>
      </w:r>
    </w:p>
    <w:p>
      <w:pPr>
        <w:pStyle w:val="Heading2"/>
        <w:spacing w:after="140" w:before="260"/>
      </w:pPr>
      <w:r>
        <w:rPr>
          <w:rFonts w:ascii="Arial" w:eastAsia="SimHei" w:hAnsi="SimHei"/>
          <w:b/>
          <w:bCs/>
          <w:color w:val="000000"/>
          <w:sz w:val="24"/>
          <w:szCs w:val="24"/>
        </w:rPr>
        <w:t xml:space="preserve">4.6 统计口径与检验方法</w:t>
      </w:r>
    </w:p>
    <w:p>
      <w:pPr>
        <w:spacing w:after="70" w:before="70" w:line="340"/>
        <w:ind w:firstLine="420"/>
      </w:pPr>
      <w:r>
        <w:rPr>
          <w:rFonts w:ascii="Times New Roman" w:eastAsia="SimSun" w:hAnsi="SimSun"/>
          <w:b w:val="false"/>
          <w:bCs w:val="false"/>
        </w:rPr>
        <w:t xml:space="preserve">LIBERO 的 n = 500（50 个初始状态 × 10 个任务，确定性评测）是样本量上限。按实测不一致率反推，检出 1.78 点需要 n 约 8358，检出 3 点需要 n 约 4300。因此 L1 与 L3 记为“未能证实”而非“证伪”，这一条件应与结论同时给出。</w:t>
      </w:r>
    </w:p>
    <w:p>
      <w:pPr>
        <w:spacing w:after="70" w:before="70" w:line="340"/>
        <w:ind w:firstLine="420"/>
      </w:pPr>
      <w:r>
        <w:rPr>
          <w:rFonts w:ascii="Times New Roman" w:eastAsia="SimSun" w:hAnsi="SimSun"/>
          <w:b w:val="false"/>
          <w:bCs w:val="false"/>
        </w:rPr>
        <w:t xml:space="preserve">配对分析方面：G3 与 G4 的逐局不一致对为 152/450 = 33.8%，配对标准误为 2.74，非配对为 2.98。两种方法在三分之一的局上给出不同结果，逐局近似独立，因此配对带来的灵敏度提升有限。分析脚本逐对输出配对标准误，使该信息始终可见。</w:t>
      </w:r>
    </w:p>
    <w:p>
      <w:pPr>
        <w:pStyle w:val="Heading2"/>
        <w:spacing w:after="140" w:before="260"/>
      </w:pPr>
      <w:r>
        <w:rPr>
          <w:rFonts w:ascii="Arial" w:eastAsia="SimHei" w:hAnsi="SimHei"/>
          <w:b/>
          <w:bCs/>
          <w:color w:val="000000"/>
          <w:sz w:val="24"/>
          <w:szCs w:val="24"/>
        </w:rPr>
        <w:t xml:space="preserve">4.7 固定案例机制诊断</w:t>
      </w:r>
    </w:p>
    <w:p>
      <w:pPr>
        <w:spacing w:after="70" w:before="70" w:line="340"/>
        <w:ind w:firstLine="420"/>
      </w:pPr>
      <w:r>
        <w:rPr>
          <w:rFonts w:ascii="Times New Roman" w:eastAsia="SimSun" w:hAnsi="SimSun"/>
          <w:b w:val="false"/>
          <w:bCs w:val="false"/>
        </w:rPr>
        <w:t xml:space="preserve">正式评测之后，我们在预先冻结的六个案例（task 2、3、4 各一个成功局与一个失败局）上，用三种方法各运行一次，逐步记录动作、画面与每个输出 token 的来源。验收全部通过：每种方法恰好六局，元数据、权重哈希、关键帧与数值检查均无误。</w:t>
      </w:r>
    </w:p>
    <w:p>
      <w:pPr>
        <w:keepNext/>
        <w:spacing w:after="90" w:before="200"/>
      </w:pPr>
      <w:r>
        <w:rPr>
          <w:rFonts w:ascii="Times New Roman" w:eastAsia="SimSun" w:hAnsi="SimSun"/>
          <w:b/>
          <w:bCs/>
          <w:sz w:val="19"/>
          <w:szCs w:val="19"/>
        </w:rPr>
        <w:t xml:space="preserve">表 4-3  历史填满后的 token 分配（窗口内 8 帧均为真实帧）</w:t>
      </w:r>
    </w:p>
    <w:tbl>
      <w:tblPr>
        <w:tblW w:type="dxa" w:w="9360"/>
        <w:tblBorders>
          <w:top w:val="single" w:color="7F7F7F" w:sz="8"/>
          <w:left w:val="single" w:color="BFBFBF" w:sz="4"/>
          <w:bottom w:val="single" w:color="7F7F7F" w:sz="8"/>
          <w:right w:val="single" w:color="BFBFBF" w:sz="4"/>
          <w:insideH w:val="single" w:color="BFBFBF" w:sz="4"/>
          <w:insideV w:val="single" w:color="BFBFBF" w:sz="4"/>
        </w:tblBorders>
      </w:tblPr>
      <w:tblGrid>
        <w:gridCol w:w="3182"/>
        <w:gridCol w:w="2059"/>
        <w:gridCol w:w="2059"/>
        <w:gridCol w:w="2060"/>
      </w:tblGrid>
      <w:tr>
        <w:trPr>
          <w:cantSplit/>
          <w:tblHeader/>
        </w:trPr>
        <w:tc>
          <w:tcPr>
            <w:tcW w:type="dxa" w:w="3182"/>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指标</w:t>
            </w:r>
          </w:p>
        </w:tc>
        <w:tc>
          <w:tcPr>
            <w:tcW w:type="dxa" w:w="2059"/>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G0 单帧</w:t>
            </w:r>
          </w:p>
        </w:tc>
        <w:tc>
          <w:tcPr>
            <w:tcW w:type="dxa" w:w="2059"/>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G2 帧独立</w:t>
            </w:r>
          </w:p>
        </w:tc>
        <w:tc>
          <w:tcPr>
            <w:tcW w:type="dxa" w:w="2060"/>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G3 跨帧联合</w:t>
            </w:r>
          </w:p>
        </w:tc>
      </w:tr>
      <w:tr>
        <w:trPr>
          <w:cantSplit/>
          <w:tblHeader w:val="false"/>
        </w:trPr>
        <w:tc>
          <w:tcPr>
            <w:tcW w:type="dxa" w:w="318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实际使用的 token</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256</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200</w:t>
            </w:r>
          </w:p>
        </w:tc>
        <w:tc>
          <w:tcPr>
            <w:tcW w:type="dxa" w:w="2060"/>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242</w:t>
            </w:r>
          </w:p>
        </w:tc>
      </w:tr>
      <w:tr>
        <w:trPr>
          <w:cantSplit/>
          <w:tblHeader w:val="false"/>
        </w:trPr>
        <w:tc>
          <w:tcPr>
            <w:tcW w:type="dxa" w:w="318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含最新帧的 token</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256</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25</w:t>
            </w:r>
          </w:p>
        </w:tc>
        <w:tc>
          <w:tcPr>
            <w:tcW w:type="dxa" w:w="2060"/>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121</w:t>
            </w:r>
          </w:p>
        </w:tc>
      </w:tr>
      <w:tr>
        <w:trPr>
          <w:cantSplit/>
          <w:tblHeader w:val="false"/>
        </w:trPr>
        <w:tc>
          <w:tcPr>
            <w:tcW w:type="dxa" w:w="318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最新帧纯度</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1.00</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1.00</w:t>
            </w:r>
          </w:p>
        </w:tc>
        <w:tc>
          <w:tcPr>
            <w:tcW w:type="dxa" w:w="2060"/>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0.25</w:t>
            </w:r>
          </w:p>
        </w:tc>
      </w:tr>
      <w:tr>
        <w:trPr>
          <w:cantSplit/>
          <w:tblHeader w:val="false"/>
        </w:trPr>
        <w:tc>
          <w:tcPr>
            <w:tcW w:type="dxa" w:w="318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只含最新帧的 token</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256</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25</w:t>
            </w:r>
          </w:p>
        </w:tc>
        <w:tc>
          <w:tcPr>
            <w:tcW w:type="dxa" w:w="2060"/>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0</w:t>
            </w:r>
          </w:p>
        </w:tc>
      </w:tr>
      <w:tr>
        <w:trPr>
          <w:cantSplit/>
          <w:tblHeader w:val="false"/>
        </w:trPr>
        <w:tc>
          <w:tcPr>
            <w:tcW w:type="dxa" w:w="318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跨帧混合的 token</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0%</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0%</w:t>
            </w:r>
          </w:p>
        </w:tc>
        <w:tc>
          <w:tcPr>
            <w:tcW w:type="dxa" w:w="2060"/>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100%</w:t>
            </w:r>
          </w:p>
        </w:tc>
      </w:tr>
      <w:tr>
        <w:trPr>
          <w:cantSplit/>
          <w:tblHeader w:val="false"/>
        </w:trPr>
        <w:tc>
          <w:tcPr>
            <w:tcW w:type="dxa" w:w="318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一个 token 覆盖的时间跨度</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0</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0</w:t>
            </w:r>
          </w:p>
        </w:tc>
        <w:tc>
          <w:tcPr>
            <w:tcW w:type="dxa" w:w="2060"/>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48 步</w:t>
            </w:r>
          </w:p>
        </w:tc>
      </w:tr>
    </w:tbl>
    <w:p>
      <w:pPr>
        <w:spacing w:after="70" w:before="70" w:line="340"/>
        <w:ind w:firstLine="420"/>
      </w:pPr>
      <w:r>
        <w:rPr>
          <w:rFonts w:ascii="Times New Roman" w:eastAsia="SimSun" w:hAnsi="SimSun"/>
          <w:b w:val="false"/>
          <w:bCs w:val="false"/>
        </w:rPr>
        <w:t xml:space="preserve">三点结论。其一，跨帧联合池化在历史填满后把每个输出 token 都做成四帧的平均，跨越 48 个环境步；最新一帧在含它的 token 中只占四分之一，没有一个只属于自己的 token。帧独立方案则为每一帧保留 25 个独立 token。其二，帧独立方案使用的 token 最少（200 个，少于跨帧方案的 242 个与单帧基线的 256 个），却取得最高成功率，说明它的优势不来自更多的 token。其三，在图像网格坐标上分箱时，分配只由窗口中的真实帧数决定、与画面内容无关，各局之间完全相同；分配统计说明了两种方法在结构上差在哪里，但不能单独说明这一差异造成了成功率差距，这正是第六章受限改版要检验的问题。</w:t>
      </w:r>
    </w:p>
    <w:p>
      <w:pPr>
        <w:spacing w:after="70" w:before="70" w:line="340"/>
        <w:ind w:firstLine="420"/>
      </w:pPr>
      <w:r>
        <w:rPr>
          <w:rFonts w:ascii="Times New Roman" w:eastAsia="SimSun" w:hAnsi="SimSun"/>
          <w:b w:val="false"/>
          <w:bCs w:val="false"/>
        </w:rPr>
        <w:t xml:space="preserve">另一项观察：同一初始状态下的单局成败会随评测批量变化。正式评测（批量 8）中跨帧方案成功的三个案例，在本次批量 1 的运行中均未成功，而总体成功率在两种批量之间处于容差内。因此正式判读一律使用批量 8 的 500 局结果，固定案例只作为机制与演示材料；演示选用同一初始状态下帧独立方案成功、跨帧方案失败的案例。</w:t>
      </w:r>
    </w:p>
    <w:p>
      <w:pPr>
        <w:pStyle w:val="Heading1"/>
        <w:spacing w:after="140" w:before="360"/>
      </w:pPr>
      <w:r>
        <w:rPr>
          <w:rFonts w:ascii="Arial" w:eastAsia="SimHei" w:hAnsi="SimHei"/>
          <w:b/>
          <w:bCs/>
          <w:color w:val="000000"/>
          <w:sz w:val="30"/>
          <w:szCs w:val="30"/>
        </w:rPr>
        <w:t xml:space="preserve">五、当前结论与适用范围</w:t>
      </w:r>
    </w:p>
    <w:p>
      <w:pPr>
        <w:spacing w:after="70" w:before="70" w:line="340"/>
        <w:ind w:firstLine="420"/>
      </w:pPr>
      <w:r>
        <w:rPr>
          <w:rFonts w:ascii="Times New Roman" w:eastAsia="SimSun" w:hAnsi="SimSun"/>
          <w:b w:val="false"/>
          <w:bCs w:val="false"/>
        </w:rPr>
        <w:t xml:space="preserve"/>
      </w:r>
      <w:r>
        <w:rPr>
          <w:rFonts w:ascii="Times New Roman" w:eastAsia="SimSun" w:hAnsi="SimSun"/>
          <w:b/>
          <w:bCs/>
        </w:rPr>
        <w:t xml:space="preserve">成果表述：</w:t>
      </w:r>
      <w:r>
        <w:rPr>
          <w:rFonts w:ascii="Times New Roman" w:eastAsia="SimSun" w:hAnsi="SimSun"/>
          <w:b w:val="false"/>
          <w:bCs w:val="false"/>
        </w:rPr>
        <w:t xml:space="preserve">在现有实验条件下，帧独立多帧方案优于单帧基线；跨帧联合池化未获得进一步收益，与单帧基线基本持平。项目据此以帧独立方案推进软件交付，并通过分配诊断与最小演示解释该工程边界。</w:t>
      </w:r>
    </w:p>
    <w:p>
      <w:pPr>
        <w:keepNext/>
        <w:spacing w:after="90" w:before="200"/>
      </w:pPr>
      <w:r>
        <w:rPr>
          <w:rFonts w:ascii="Times New Roman" w:eastAsia="SimSun" w:hAnsi="SimSun"/>
          <w:b/>
          <w:bCs/>
          <w:sz w:val="19"/>
          <w:szCs w:val="19"/>
        </w:rPr>
        <w:t xml:space="preserve">表 5-1  结论的适用范围</w:t>
      </w:r>
    </w:p>
    <w:tbl>
      <w:tblPr>
        <w:tblW w:type="dxa" w:w="9360"/>
        <w:tblBorders>
          <w:top w:val="single" w:color="7F7F7F" w:sz="8"/>
          <w:left w:val="single" w:color="BFBFBF" w:sz="4"/>
          <w:bottom w:val="single" w:color="7F7F7F" w:sz="8"/>
          <w:right w:val="single" w:color="BFBFBF" w:sz="4"/>
          <w:insideH w:val="single" w:color="BFBFBF" w:sz="4"/>
          <w:insideV w:val="single" w:color="BFBFBF" w:sz="4"/>
        </w:tblBorders>
      </w:tblPr>
      <w:tblGrid>
        <w:gridCol w:w="2808"/>
        <w:gridCol w:w="6552"/>
      </w:tblGrid>
      <w:tr>
        <w:trPr>
          <w:cantSplit/>
          <w:tblHeader/>
        </w:trPr>
        <w:tc>
          <w:tcPr>
            <w:tcW w:type="dxa" w:w="2808"/>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条件</w:t>
            </w:r>
          </w:p>
        </w:tc>
        <w:tc>
          <w:tcPr>
            <w:tcW w:type="dxa" w:w="6552"/>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说明</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比较的对象</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G2 与 G3 之间比较的是聚合方式；“历史观测有用”这一结论由 G0 与 G2 的对照支持</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样本量</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n = 500 为 LIBERO 的上限，小于该上限可检出的效应量记为未能证实而非证伪</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训练种子</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每种方法各有一个训练种子，故以固定测试集上的实测差值为主要依据</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有效 token 数</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历史填满后，帧独立方案使用 200 个 token，跨帧联合方案 242 个，度量方案与单帧基线各 256 个；帧独立方案以最少的 token 取得最高成功率。跨方法拉平的开关已实现并默认关闭，启用需重新训练相应各臂</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评测批量</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总体成功率在批量 1 与批量 8 之间处于容差内，单局成败可能不同；正式结果均为批量 8</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图像增强与深度对齐</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训练侧随机裁剪与预计算的 patch 深度之间存在约 1.4 至 2.8 cm 的世界系偏移，约为分箱宽度的九分之一；几何原语已统一，默认关闭</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小样本材料</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本阶段采集的固定案例用于机制诊断与演示，不用于更新成功率或计算总体置信区间</w:t>
            </w:r>
          </w:p>
        </w:tc>
      </w:tr>
    </w:tbl>
    <w:p>
      <w:pPr>
        <w:pStyle w:val="Heading1"/>
        <w:spacing w:after="140" w:before="360"/>
      </w:pPr>
      <w:r>
        <w:rPr>
          <w:rFonts w:ascii="Arial" w:eastAsia="SimHei" w:hAnsi="SimHei"/>
          <w:b/>
          <w:bCs/>
          <w:color w:val="000000"/>
          <w:sz w:val="30"/>
          <w:szCs w:val="30"/>
        </w:rPr>
        <w:t xml:space="preserve">六、后续工作与排期</w:t>
      </w:r>
    </w:p>
    <w:p>
      <w:pPr>
        <w:pStyle w:val="Heading2"/>
        <w:spacing w:after="140" w:before="260"/>
      </w:pPr>
      <w:r>
        <w:rPr>
          <w:rFonts w:ascii="Arial" w:eastAsia="SimHei" w:hAnsi="SimHei"/>
          <w:b/>
          <w:bCs/>
          <w:color w:val="000000"/>
          <w:sz w:val="24"/>
          <w:szCs w:val="24"/>
        </w:rPr>
        <w:t xml:space="preserve">6.1 本阶段的范围</w:t>
      </w:r>
    </w:p>
    <w:p>
      <w:pPr>
        <w:spacing w:after="70" w:before="70" w:line="340"/>
        <w:ind w:firstLine="420"/>
      </w:pPr>
      <w:r>
        <w:rPr>
          <w:rFonts w:ascii="Times New Roman" w:eastAsia="SimSun" w:hAnsi="SimSun"/>
          <w:b w:val="false"/>
          <w:bCs w:val="false"/>
        </w:rPr>
        <w:t xml:space="preserve">仿真主实验与固定案例机制诊断均已完成，进度早于原定排期约两个月。决策门的结论是提出一个受限改版，用一次训练检验“最新帧被稀释”是否是差距的主因；除此之外不启动新的训练，也不重复已完成的满量评测。其余工作是把已有系统整理成可复现、可解释、可演示的结项成果。</w:t>
      </w:r>
    </w:p>
    <w:p>
      <w:pPr>
        <w:pStyle w:val="Heading2"/>
        <w:spacing w:after="140" w:before="260"/>
      </w:pPr>
      <w:r>
        <w:rPr>
          <w:rFonts w:ascii="Arial" w:eastAsia="SimHei" w:hAnsi="SimHei"/>
          <w:b/>
          <w:bCs/>
          <w:color w:val="000000"/>
          <w:sz w:val="24"/>
          <w:szCs w:val="24"/>
        </w:rPr>
        <w:t xml:space="preserve">6.2 六个阶段</w:t>
      </w:r>
    </w:p>
    <w:p>
      <w:pPr>
        <w:keepNext/>
        <w:spacing w:after="90" w:before="200"/>
      </w:pPr>
      <w:r>
        <w:rPr>
          <w:rFonts w:ascii="Times New Roman" w:eastAsia="SimSun" w:hAnsi="SimSun"/>
          <w:b/>
          <w:bCs/>
          <w:sz w:val="19"/>
          <w:szCs w:val="19"/>
        </w:rPr>
        <w:t xml:space="preserve">表 6-1  阶段划分</w:t>
      </w:r>
    </w:p>
    <w:tbl>
      <w:tblPr>
        <w:tblW w:type="dxa" w:w="9360"/>
        <w:tblBorders>
          <w:top w:val="single" w:color="7F7F7F" w:sz="8"/>
          <w:left w:val="single" w:color="BFBFBF" w:sz="4"/>
          <w:bottom w:val="single" w:color="7F7F7F" w:sz="8"/>
          <w:right w:val="single" w:color="BFBFBF" w:sz="4"/>
          <w:insideH w:val="single" w:color="BFBFBF" w:sz="4"/>
          <w:insideV w:val="single" w:color="BFBFBF" w:sz="4"/>
        </w:tblBorders>
      </w:tblPr>
      <w:tblGrid>
        <w:gridCol w:w="749"/>
        <w:gridCol w:w="2808"/>
        <w:gridCol w:w="3931"/>
        <w:gridCol w:w="1872"/>
      </w:tblGrid>
      <w:tr>
        <w:trPr>
          <w:cantSplit/>
          <w:tblHeader/>
        </w:trPr>
        <w:tc>
          <w:tcPr>
            <w:tcW w:type="dxa" w:w="749"/>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阶段</w:t>
            </w:r>
          </w:p>
        </w:tc>
        <w:tc>
          <w:tcPr>
            <w:tcW w:type="dxa" w:w="2808"/>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任务</w:t>
            </w:r>
          </w:p>
        </w:tc>
        <w:tc>
          <w:tcPr>
            <w:tcW w:type="dxa" w:w="3931"/>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主要产物</w:t>
            </w:r>
          </w:p>
        </w:tc>
        <w:tc>
          <w:tcPr>
            <w:tcW w:type="dxa" w:w="1872"/>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GPU</w:t>
            </w:r>
          </w:p>
        </w:tc>
      </w:tr>
      <w:tr>
        <w:trPr>
          <w:cantSplit/>
          <w:tblHeader w:val="false"/>
        </w:trPr>
        <w:tc>
          <w:tcPr>
            <w:tcW w:type="dxa" w:w="749"/>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A</w:t>
            </w:r>
          </w:p>
        </w:tc>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开工审计与证据冻结</w:t>
            </w:r>
          </w:p>
        </w:tc>
        <w:tc>
          <w:tcPr>
            <w:tcW w:type="dxa" w:w="3931"/>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状态记录、固定案例清单</w:t>
            </w:r>
          </w:p>
        </w:tc>
        <w:tc>
          <w:tcPr>
            <w:tcW w:type="dxa" w:w="187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无</w:t>
            </w:r>
          </w:p>
        </w:tc>
      </w:tr>
      <w:tr>
        <w:trPr>
          <w:cantSplit/>
          <w:tblHeader w:val="false"/>
        </w:trPr>
        <w:tc>
          <w:tcPr>
            <w:tcW w:type="dxa" w:w="749"/>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B</w:t>
            </w:r>
          </w:p>
        </w:tc>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实现只读的轨迹与 token 来源记录</w:t>
            </w:r>
          </w:p>
        </w:tc>
        <w:tc>
          <w:tcPr>
            <w:tcW w:type="dxa" w:w="3931"/>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轨迹导出、来源分配统计、测试</w:t>
            </w:r>
          </w:p>
        </w:tc>
        <w:tc>
          <w:tcPr>
            <w:tcW w:type="dxa" w:w="187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无</w:t>
            </w:r>
          </w:p>
        </w:tc>
      </w:tr>
      <w:tr>
        <w:trPr>
          <w:cantSplit/>
          <w:tblHeader w:val="false"/>
        </w:trPr>
        <w:tc>
          <w:tcPr>
            <w:tcW w:type="dxa" w:w="749"/>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C</w:t>
            </w:r>
          </w:p>
        </w:tc>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三种方法在固定案例上的短时采集</w:t>
            </w:r>
          </w:p>
        </w:tc>
        <w:tc>
          <w:tcPr>
            <w:tcW w:type="dxa" w:w="3931"/>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18 个方法-案例的可追溯记录</w:t>
            </w:r>
          </w:p>
        </w:tc>
        <w:tc>
          <w:tcPr>
            <w:tcW w:type="dxa" w:w="187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不超过 90 分钟</w:t>
            </w:r>
          </w:p>
        </w:tc>
      </w:tr>
      <w:tr>
        <w:trPr>
          <w:cantSplit/>
          <w:tblHeader w:val="false"/>
        </w:trPr>
        <w:tc>
          <w:tcPr>
            <w:tcW w:type="dxa" w:w="749"/>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D</w:t>
            </w:r>
          </w:p>
        </w:tc>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离线分配诊断与最小演示</w:t>
            </w:r>
          </w:p>
        </w:tc>
        <w:tc>
          <w:tcPr>
            <w:tcW w:type="dxa" w:w="3931"/>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统计表、案例图或视频、回放入口</w:t>
            </w:r>
          </w:p>
        </w:tc>
        <w:tc>
          <w:tcPr>
            <w:tcW w:type="dxa" w:w="187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无</w:t>
            </w:r>
          </w:p>
        </w:tc>
      </w:tr>
      <w:tr>
        <w:trPr>
          <w:cantSplit/>
          <w:tblHeader w:val="false"/>
        </w:trPr>
        <w:tc>
          <w:tcPr>
            <w:tcW w:type="dxa" w:w="749"/>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E</w:t>
            </w:r>
          </w:p>
        </w:tc>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一次决策门</w:t>
            </w:r>
          </w:p>
        </w:tc>
        <w:tc>
          <w:tcPr>
            <w:tcW w:type="dxa" w:w="3931"/>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停止，或提出一个受限改版</w:t>
            </w:r>
          </w:p>
        </w:tc>
        <w:tc>
          <w:tcPr>
            <w:tcW w:type="dxa" w:w="187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默认无</w:t>
            </w:r>
          </w:p>
        </w:tc>
      </w:tr>
      <w:tr>
        <w:trPr>
          <w:cantSplit/>
          <w:tblHeader w:val="false"/>
        </w:trPr>
        <w:tc>
          <w:tcPr>
            <w:tcW w:type="dxa" w:w="749"/>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F</w:t>
            </w:r>
          </w:p>
        </w:tc>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结项材料收口</w:t>
            </w:r>
          </w:p>
        </w:tc>
        <w:tc>
          <w:tcPr>
            <w:tcW w:type="dxa" w:w="3931"/>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说明文档、报告素材、复现命令</w:t>
            </w:r>
          </w:p>
        </w:tc>
        <w:tc>
          <w:tcPr>
            <w:tcW w:type="dxa" w:w="187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无</w:t>
            </w:r>
          </w:p>
        </w:tc>
      </w:tr>
    </w:tbl>
    <w:p>
      <w:pPr>
        <w:spacing w:after="70" w:before="70" w:line="340"/>
        <w:ind w:firstLine="420"/>
      </w:pPr>
      <w:r>
        <w:rPr>
          <w:rFonts w:ascii="Times New Roman" w:eastAsia="SimSun" w:hAnsi="SimSun"/>
          <w:b w:val="false"/>
          <w:bCs w:val="false"/>
        </w:rPr>
        <w:t xml:space="preserve">阶段 C 的规模刻意压到最小：3 个任务 × 每任务 2 局 × 3 种方法 = 18 个方法-案例，总 GPU 占用不超过 90 分钟，评测批量固定为 1，输出标记为案例集，已于 10 月 8 日完成。案例在任何新推理之前即已冻结：任务固定为 task 2、4（跨帧方案相对帧独立方案分别低 42 与 30 点）与 task 3（唯一明显高出的任务，+20 点），每个任务取编号最小的一个成功局与一个失败局，成败标签取自正式的 500 局记录；选择规则随材料一并披露。</w:t>
      </w:r>
    </w:p>
    <w:p>
      <w:pPr>
        <w:pStyle w:val="Heading2"/>
        <w:spacing w:after="140" w:before="260"/>
      </w:pPr>
      <w:r>
        <w:rPr>
          <w:rFonts w:ascii="Arial" w:eastAsia="SimHei" w:hAnsi="SimHei"/>
          <w:b/>
          <w:bCs/>
          <w:color w:val="000000"/>
          <w:sz w:val="24"/>
          <w:szCs w:val="24"/>
        </w:rPr>
        <w:t xml:space="preserve">6.3 当前状态</w:t>
      </w:r>
    </w:p>
    <w:p>
      <w:pPr>
        <w:keepNext/>
        <w:spacing w:after="90" w:before="200"/>
      </w:pPr>
      <w:r>
        <w:rPr>
          <w:rFonts w:ascii="Times New Roman" w:eastAsia="SimSun" w:hAnsi="SimSun"/>
          <w:b/>
          <w:bCs/>
          <w:sz w:val="19"/>
          <w:szCs w:val="19"/>
        </w:rPr>
        <w:t xml:space="preserve">表 6-2  2026-10-08 的完成情况</w:t>
      </w:r>
    </w:p>
    <w:tbl>
      <w:tblPr>
        <w:tblW w:type="dxa" w:w="9360"/>
        <w:tblBorders>
          <w:top w:val="single" w:color="7F7F7F" w:sz="8"/>
          <w:left w:val="single" w:color="BFBFBF" w:sz="4"/>
          <w:bottom w:val="single" w:color="7F7F7F" w:sz="8"/>
          <w:right w:val="single" w:color="BFBFBF" w:sz="4"/>
          <w:insideH w:val="single" w:color="BFBFBF" w:sz="4"/>
          <w:insideV w:val="single" w:color="BFBFBF" w:sz="4"/>
        </w:tblBorders>
      </w:tblPr>
      <w:tblGrid>
        <w:gridCol w:w="1123"/>
        <w:gridCol w:w="6365"/>
        <w:gridCol w:w="1872"/>
      </w:tblGrid>
      <w:tr>
        <w:trPr>
          <w:cantSplit/>
          <w:tblHeader/>
        </w:trPr>
        <w:tc>
          <w:tcPr>
            <w:tcW w:type="dxa" w:w="1123"/>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阶段</w:t>
            </w:r>
          </w:p>
        </w:tc>
        <w:tc>
          <w:tcPr>
            <w:tcW w:type="dxa" w:w="6365"/>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事项</w:t>
            </w:r>
          </w:p>
        </w:tc>
        <w:tc>
          <w:tcPr>
            <w:tcW w:type="dxa" w:w="1872"/>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状态</w:t>
            </w:r>
          </w:p>
        </w:tc>
      </w:tr>
      <w:tr>
        <w:trPr>
          <w:cantSplit/>
          <w:tblHeader w:val="false"/>
        </w:trPr>
        <w:tc>
          <w:tcPr>
            <w:tcW w:type="dxa" w:w="1123"/>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A</w:t>
            </w:r>
          </w:p>
        </w:tc>
        <w:tc>
          <w:tcPr>
            <w:tcW w:type="dxa" w:w="6365"/>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正式证据核对与六个案例冻结</w:t>
            </w:r>
          </w:p>
        </w:tc>
        <w:tc>
          <w:tcPr>
            <w:tcW w:type="dxa" w:w="1872"/>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已完成</w:t>
            </w:r>
          </w:p>
        </w:tc>
      </w:tr>
      <w:tr>
        <w:trPr>
          <w:cantSplit/>
          <w:tblHeader w:val="false"/>
        </w:trPr>
        <w:tc>
          <w:tcPr>
            <w:tcW w:type="dxa" w:w="1123"/>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B</w:t>
            </w:r>
          </w:p>
        </w:tc>
        <w:tc>
          <w:tcPr>
            <w:tcW w:type="dxa" w:w="6365"/>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轨迹导出、逐 token 来源统计、固定案例启动器及其测试</w:t>
            </w:r>
          </w:p>
        </w:tc>
        <w:tc>
          <w:tcPr>
            <w:tcW w:type="dxa" w:w="1872"/>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已完成</w:t>
            </w:r>
          </w:p>
        </w:tc>
      </w:tr>
      <w:tr>
        <w:trPr>
          <w:cantSplit/>
          <w:tblHeader w:val="false"/>
        </w:trPr>
        <w:tc>
          <w:tcPr>
            <w:tcW w:type="dxa" w:w="1123"/>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C</w:t>
            </w:r>
          </w:p>
        </w:tc>
        <w:tc>
          <w:tcPr>
            <w:tcW w:type="dxa" w:w="6365"/>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三种方法各六局采集，checkpoint 身份与冻结值一致，验收全部通过</w:t>
            </w:r>
          </w:p>
        </w:tc>
        <w:tc>
          <w:tcPr>
            <w:tcW w:type="dxa" w:w="1872"/>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已完成</w:t>
            </w:r>
          </w:p>
        </w:tc>
      </w:tr>
      <w:tr>
        <w:trPr>
          <w:cantSplit/>
          <w:tblHeader w:val="false"/>
        </w:trPr>
        <w:tc>
          <w:tcPr>
            <w:tcW w:type="dxa" w:w="1123"/>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D</w:t>
            </w:r>
          </w:p>
        </w:tc>
        <w:tc>
          <w:tcPr>
            <w:tcW w:type="dxa" w:w="6365"/>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诊断表</w:t>
            </w:r>
          </w:p>
        </w:tc>
        <w:tc>
          <w:tcPr>
            <w:tcW w:type="dxa" w:w="1872"/>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已完成</w:t>
            </w:r>
          </w:p>
        </w:tc>
      </w:tr>
      <w:tr>
        <w:trPr>
          <w:cantSplit/>
          <w:tblHeader w:val="false"/>
        </w:trPr>
        <w:tc>
          <w:tcPr>
            <w:tcW w:type="dxa" w:w="1123"/>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D</w:t>
            </w:r>
          </w:p>
        </w:tc>
        <w:tc>
          <w:tcPr>
            <w:tcW w:type="dxa" w:w="6365"/>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最小演示</w:t>
            </w:r>
          </w:p>
        </w:tc>
        <w:tc>
          <w:tcPr>
            <w:tcW w:type="dxa" w:w="1872"/>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进行中（已生成一个案例的拼图）</w:t>
            </w:r>
          </w:p>
        </w:tc>
      </w:tr>
      <w:tr>
        <w:trPr>
          <w:cantSplit/>
          <w:tblHeader w:val="false"/>
        </w:trPr>
        <w:tc>
          <w:tcPr>
            <w:tcW w:type="dxa" w:w="1123"/>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E</w:t>
            </w:r>
          </w:p>
        </w:tc>
        <w:tc>
          <w:tcPr>
            <w:tcW w:type="dxa" w:w="6365"/>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决策门：提出受限改版 G3Q，设计、实现、测试与离线对照已完成</w:t>
            </w:r>
          </w:p>
        </w:tc>
        <w:tc>
          <w:tcPr>
            <w:tcW w:type="dxa" w:w="1872"/>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已完成</w:t>
            </w:r>
          </w:p>
        </w:tc>
      </w:tr>
      <w:tr>
        <w:trPr>
          <w:cantSplit/>
          <w:tblHeader w:val="false"/>
        </w:trPr>
        <w:tc>
          <w:tcPr>
            <w:tcW w:type="dxa" w:w="1123"/>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E</w:t>
            </w:r>
          </w:p>
        </w:tc>
        <w:tc>
          <w:tcPr>
            <w:tcW w:type="dxa" w:w="6365"/>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G3Q 训练审查</w:t>
            </w:r>
          </w:p>
        </w:tc>
        <w:tc>
          <w:tcPr>
            <w:tcW w:type="dxa" w:w="1872"/>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不晚于 10 月 31 日</w:t>
            </w:r>
          </w:p>
        </w:tc>
      </w:tr>
      <w:tr>
        <w:trPr>
          <w:cantSplit/>
          <w:tblHeader w:val="false"/>
        </w:trPr>
        <w:tc>
          <w:tcPr>
            <w:tcW w:type="dxa" w:w="1123"/>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F</w:t>
            </w:r>
          </w:p>
        </w:tc>
        <w:tc>
          <w:tcPr>
            <w:tcW w:type="dxa" w:w="6365"/>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材料收口</w:t>
            </w:r>
          </w:p>
        </w:tc>
        <w:tc>
          <w:tcPr>
            <w:tcW w:type="dxa" w:w="1872"/>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待办</w:t>
            </w:r>
          </w:p>
        </w:tc>
      </w:tr>
    </w:tbl>
    <w:p>
      <w:pPr>
        <w:spacing w:after="70" w:before="70" w:line="340"/>
        <w:ind w:firstLine="420"/>
      </w:pPr>
      <w:r>
        <w:rPr>
          <w:rFonts w:ascii="Times New Roman" w:eastAsia="SimSun" w:hAnsi="SimSun"/>
          <w:b w:val="false"/>
          <w:bCs w:val="false"/>
        </w:rPr>
        <w:t xml:space="preserve">三种方法使用了相同的任务、episode、初始状态、评测种子、裁剪方式与动作后处理。</w:t>
      </w:r>
    </w:p>
    <w:p>
      <w:pPr>
        <w:pStyle w:val="Heading2"/>
        <w:spacing w:after="140" w:before="260"/>
      </w:pPr>
      <w:r>
        <w:rPr>
          <w:rFonts w:ascii="Arial" w:eastAsia="SimHei" w:hAnsi="SimHei"/>
          <w:b/>
          <w:bCs/>
          <w:color w:val="000000"/>
          <w:sz w:val="24"/>
          <w:szCs w:val="24"/>
        </w:rPr>
        <w:t xml:space="preserve">6.4 决策门与受限改版 G3Q</w:t>
      </w:r>
    </w:p>
    <w:p>
      <w:pPr>
        <w:spacing w:after="70" w:before="70" w:line="340"/>
        <w:ind w:firstLine="420"/>
      </w:pPr>
      <w:r>
        <w:rPr>
          <w:rFonts w:ascii="Times New Roman" w:eastAsia="SimSun" w:hAnsi="SimSun"/>
          <w:b w:val="false"/>
          <w:bCs w:val="false"/>
        </w:rPr>
        <w:t xml:space="preserve">决策门有三种事先写定的结果：证据支持跨帧混合稀释当前观测时，提出一个受限改版；没有一致的机制信号时，停止方法扩展；导出链路需要调整时，只修工具并重采同样的六局。诊断表明稀释是跨帧联合池化的确定性质，且跨帧方案的 token 并不少于帧独立方案，因此选择第一种结果，提出受限改版 G3Q。</w:t>
      </w:r>
    </w:p>
    <w:p>
      <w:pPr>
        <w:spacing w:after="70" w:before="70" w:line="340"/>
        <w:ind w:firstLine="420"/>
      </w:pPr>
      <w:r>
        <w:rPr>
          <w:rFonts w:ascii="Times New Roman" w:eastAsia="SimSun" w:hAnsi="SimSun"/>
          <w:b w:val="false"/>
          <w:bCs w:val="false"/>
        </w:rPr>
        <w:t xml:space="preserve">G3Q 相对跨帧方案只改一件事：最新一帧不再与旧帧混合，而是像帧独立方案那样单独池化，得到“总预算 ÷ 真实帧数”的 token（历史填满时 25 个）；其余历史帧仍按跨帧方案的方式共享剩余预算。这样，G3Q 与跨帧方案的对照只回答“最新帧被稀释是不是主因”，与帧独立方案的对照只回答“历史帧的跨帧混合有没有代价”。</w:t>
      </w:r>
    </w:p>
    <w:p>
      <w:pPr>
        <w:keepNext/>
        <w:spacing w:after="90" w:before="200"/>
      </w:pPr>
      <w:r>
        <w:rPr>
          <w:rFonts w:ascii="Times New Roman" w:eastAsia="SimSun" w:hAnsi="SimSun"/>
          <w:b/>
          <w:bCs/>
          <w:sz w:val="19"/>
          <w:szCs w:val="19"/>
        </w:rPr>
        <w:t xml:space="preserve">表 6-3  历史填满后三种方案的分配（离线对照）</w:t>
      </w:r>
    </w:p>
    <w:tbl>
      <w:tblPr>
        <w:tblW w:type="dxa" w:w="9360"/>
        <w:tblBorders>
          <w:top w:val="single" w:color="7F7F7F" w:sz="8"/>
          <w:left w:val="single" w:color="BFBFBF" w:sz="4"/>
          <w:bottom w:val="single" w:color="7F7F7F" w:sz="8"/>
          <w:right w:val="single" w:color="BFBFBF" w:sz="4"/>
          <w:insideH w:val="single" w:color="BFBFBF" w:sz="4"/>
          <w:insideV w:val="single" w:color="BFBFBF" w:sz="4"/>
        </w:tblBorders>
      </w:tblPr>
      <w:tblGrid>
        <w:gridCol w:w="3182"/>
        <w:gridCol w:w="2059"/>
        <w:gridCol w:w="2059"/>
        <w:gridCol w:w="2060"/>
      </w:tblGrid>
      <w:tr>
        <w:trPr>
          <w:cantSplit/>
          <w:tblHeader/>
        </w:trPr>
        <w:tc>
          <w:tcPr>
            <w:tcW w:type="dxa" w:w="3182"/>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指标</w:t>
            </w:r>
          </w:p>
        </w:tc>
        <w:tc>
          <w:tcPr>
            <w:tcW w:type="dxa" w:w="2059"/>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G2 帧独立</w:t>
            </w:r>
          </w:p>
        </w:tc>
        <w:tc>
          <w:tcPr>
            <w:tcW w:type="dxa" w:w="2059"/>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G3 跨帧联合</w:t>
            </w:r>
          </w:p>
        </w:tc>
        <w:tc>
          <w:tcPr>
            <w:tcW w:type="dxa" w:w="2060"/>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G3Q 受限改版</w:t>
            </w:r>
          </w:p>
        </w:tc>
      </w:tr>
      <w:tr>
        <w:trPr>
          <w:cantSplit/>
          <w:tblHeader w:val="false"/>
        </w:trPr>
        <w:tc>
          <w:tcPr>
            <w:tcW w:type="dxa" w:w="318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实际使用的 token</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200</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242</w:t>
            </w:r>
          </w:p>
        </w:tc>
        <w:tc>
          <w:tcPr>
            <w:tcW w:type="dxa" w:w="2060"/>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225</w:t>
            </w:r>
          </w:p>
        </w:tc>
      </w:tr>
      <w:tr>
        <w:trPr>
          <w:cantSplit/>
          <w:tblHeader w:val="false"/>
        </w:trPr>
        <w:tc>
          <w:tcPr>
            <w:tcW w:type="dxa" w:w="318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含最新帧的 token</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25</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121</w:t>
            </w:r>
          </w:p>
        </w:tc>
        <w:tc>
          <w:tcPr>
            <w:tcW w:type="dxa" w:w="2060"/>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25</w:t>
            </w:r>
          </w:p>
        </w:tc>
      </w:tr>
      <w:tr>
        <w:trPr>
          <w:cantSplit/>
          <w:tblHeader w:val="false"/>
        </w:trPr>
        <w:tc>
          <w:tcPr>
            <w:tcW w:type="dxa" w:w="318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最新帧纯度</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1.00</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0.25</w:t>
            </w:r>
          </w:p>
        </w:tc>
        <w:tc>
          <w:tcPr>
            <w:tcW w:type="dxa" w:w="2060"/>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1.00</w:t>
            </w:r>
          </w:p>
        </w:tc>
      </w:tr>
      <w:tr>
        <w:trPr>
          <w:cantSplit/>
          <w:tblHeader w:val="false"/>
        </w:trPr>
        <w:tc>
          <w:tcPr>
            <w:tcW w:type="dxa" w:w="318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只含最新帧的 token</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25</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0</w:t>
            </w:r>
          </w:p>
        </w:tc>
        <w:tc>
          <w:tcPr>
            <w:tcW w:type="dxa" w:w="2060"/>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25</w:t>
            </w:r>
          </w:p>
        </w:tc>
      </w:tr>
      <w:tr>
        <w:trPr>
          <w:cantSplit/>
          <w:tblHeader w:val="false"/>
        </w:trPr>
        <w:tc>
          <w:tcPr>
            <w:tcW w:type="dxa" w:w="318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跨帧混合的 token</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0%</w:t>
            </w:r>
          </w:p>
        </w:tc>
        <w:tc>
          <w:tcPr>
            <w:tcW w:type="dxa" w:w="2059"/>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100%</w:t>
            </w:r>
          </w:p>
        </w:tc>
        <w:tc>
          <w:tcPr>
            <w:tcW w:type="dxa" w:w="2060"/>
            <w:tcMar>
              <w:top w:type="dxa" w:w="70"/>
              <w:left w:type="dxa" w:w="100"/>
              <w:bottom w:type="dxa" w:w="70"/>
              <w:right w:type="dxa" w:w="100"/>
            </w:tcMar>
          </w:tcPr>
          <w:p>
            <w:pPr>
              <w:spacing w:line="280"/>
              <w:jc w:val="right"/>
            </w:pPr>
            <w:r>
              <w:rPr>
                <w:rFonts w:ascii="Times New Roman" w:eastAsia="SimSun" w:hAnsi="SimSun"/>
                <w:b w:val="false"/>
                <w:bCs w:val="false"/>
                <w:sz w:val="19"/>
                <w:szCs w:val="19"/>
              </w:rPr>
              <w:t xml:space="preserve">89%（均来自历史帧）</w:t>
            </w:r>
          </w:p>
        </w:tc>
      </w:tr>
    </w:tbl>
    <w:p>
      <w:pPr>
        <w:spacing w:after="70" w:before="70" w:line="340"/>
        <w:ind w:firstLine="420"/>
      </w:pPr>
      <w:r>
        <w:rPr>
          <w:rFonts w:ascii="Times New Roman" w:eastAsia="SimSun" w:hAnsi="SimSun"/>
          <w:b w:val="false"/>
          <w:bCs w:val="false"/>
        </w:rPr>
        <w:t xml:space="preserve">离线对照沿用训练与评测同一份池化代码；其中 G2 与 G3 两列在 1 至 8 个真实帧下与真实运行的诊断结果逐项一致。G3Q 的实现与单元测试已完成，测试确认它对最新帧的处理在每个历史长度上都与帧独立方案逐位相同。</w:t>
      </w:r>
    </w:p>
    <w:p>
      <w:pPr>
        <w:spacing w:after="70" w:before="70" w:line="340"/>
        <w:ind w:firstLine="420"/>
      </w:pPr>
      <w:r>
        <w:rPr>
          <w:rFonts w:ascii="Times New Roman" w:eastAsia="SimSun" w:hAnsi="SimSun"/>
          <w:b w:val="false"/>
          <w:bCs w:val="false"/>
        </w:rPr>
        <w:t xml:space="preserve">是否训练 G3Q 在 10 月 31 日前单独审查，批准后先冻结判据再开训。判据草案以 10 任务成功率为主口径，以恢复比例 ρ =（G3Q − G3）/（G2 − G3）衡量：</w:t>
      </w:r>
    </w:p>
    <w:p>
      <w:pPr>
        <w:keepNext/>
        <w:spacing w:after="90" w:before="200"/>
      </w:pPr>
      <w:r>
        <w:rPr>
          <w:rFonts w:ascii="Times New Roman" w:eastAsia="SimSun" w:hAnsi="SimSun"/>
          <w:b/>
          <w:bCs/>
          <w:sz w:val="19"/>
          <w:szCs w:val="19"/>
        </w:rPr>
        <w:t xml:space="preserve">表 6-4  G3Q 判据草案（审查时冻结）</w:t>
      </w:r>
    </w:p>
    <w:tbl>
      <w:tblPr>
        <w:tblW w:type="dxa" w:w="9360"/>
        <w:tblBorders>
          <w:top w:val="single" w:color="7F7F7F" w:sz="8"/>
          <w:left w:val="single" w:color="BFBFBF" w:sz="4"/>
          <w:bottom w:val="single" w:color="7F7F7F" w:sz="8"/>
          <w:right w:val="single" w:color="BFBFBF" w:sz="4"/>
          <w:insideH w:val="single" w:color="BFBFBF" w:sz="4"/>
          <w:insideV w:val="single" w:color="BFBFBF" w:sz="4"/>
        </w:tblBorders>
      </w:tblPr>
      <w:tblGrid>
        <w:gridCol w:w="2434"/>
        <w:gridCol w:w="1685"/>
        <w:gridCol w:w="5241"/>
      </w:tblGrid>
      <w:tr>
        <w:trPr>
          <w:cantSplit/>
          <w:tblHeader/>
        </w:trPr>
        <w:tc>
          <w:tcPr>
            <w:tcW w:type="dxa" w:w="2434"/>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G3Q 成功率</w:t>
            </w:r>
          </w:p>
        </w:tc>
        <w:tc>
          <w:tcPr>
            <w:tcW w:type="dxa" w:w="1685"/>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ρ</w:t>
            </w:r>
          </w:p>
        </w:tc>
        <w:tc>
          <w:tcPr>
            <w:tcW w:type="dxa" w:w="5241"/>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读法</w:t>
            </w:r>
          </w:p>
        </w:tc>
      </w:tr>
      <w:tr>
        <w:trPr>
          <w:cantSplit/>
          <w:tblHeader w:val="false"/>
        </w:trPr>
        <w:tc>
          <w:tcPr>
            <w:tcW w:type="dxa" w:w="2434"/>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 36.0%</w:t>
            </w:r>
          </w:p>
        </w:tc>
        <w:tc>
          <w:tcPr>
            <w:tcW w:type="dxa" w:w="1685"/>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 2/3</w:t>
            </w:r>
          </w:p>
        </w:tc>
        <w:tc>
          <w:tcPr>
            <w:tcW w:type="dxa" w:w="5241"/>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最新帧被稀释可以解释差距的大部分</w:t>
            </w:r>
          </w:p>
        </w:tc>
      </w:tr>
      <w:tr>
        <w:trPr>
          <w:cantSplit/>
          <w:tblHeader w:val="false"/>
        </w:trPr>
        <w:tc>
          <w:tcPr>
            <w:tcW w:type="dxa" w:w="2434"/>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29.8% – 36.0%</w:t>
            </w:r>
          </w:p>
        </w:tc>
        <w:tc>
          <w:tcPr>
            <w:tcW w:type="dxa" w:w="1685"/>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1/3 – 2/3</w:t>
            </w:r>
          </w:p>
        </w:tc>
        <w:tc>
          <w:tcPr>
            <w:tcW w:type="dxa" w:w="5241"/>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部分解释；历史帧的跨帧混合同样有代价</w:t>
            </w:r>
          </w:p>
        </w:tc>
      </w:tr>
      <w:tr>
        <w:trPr>
          <w:cantSplit/>
          <w:tblHeader w:val="false"/>
        </w:trPr>
        <w:tc>
          <w:tcPr>
            <w:tcW w:type="dxa" w:w="2434"/>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 29.8%</w:t>
            </w:r>
          </w:p>
        </w:tc>
        <w:tc>
          <w:tcPr>
            <w:tcW w:type="dxa" w:w="1685"/>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 1/3</w:t>
            </w:r>
          </w:p>
        </w:tc>
        <w:tc>
          <w:tcPr>
            <w:tcW w:type="dxa" w:w="5241"/>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最新帧被稀释不是主因，剩余原因在历史帧的跨帧混合与时间抹平</w:t>
            </w:r>
          </w:p>
        </w:tc>
      </w:tr>
      <w:tr>
        <w:trPr>
          <w:cantSplit/>
          <w:tblHeader w:val="false"/>
        </w:trPr>
        <w:tc>
          <w:tcPr>
            <w:tcW w:type="dxa" w:w="2434"/>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&gt; 48.2%</w:t>
            </w:r>
          </w:p>
        </w:tc>
        <w:tc>
          <w:tcPr>
            <w:tcW w:type="dxa" w:w="1685"/>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w:t>
            </w:r>
          </w:p>
        </w:tc>
        <w:tc>
          <w:tcPr>
            <w:tcW w:type="dxa" w:w="5241"/>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超过帧独立参照 6 点以上，记为正结果并另行确认</w:t>
            </w:r>
          </w:p>
        </w:tc>
      </w:tr>
    </w:tbl>
    <w:p>
      <w:pPr>
        <w:spacing w:after="70" w:before="70" w:line="340"/>
        <w:ind w:firstLine="420"/>
      </w:pPr>
      <w:r>
        <w:rPr>
          <w:rFonts w:ascii="Times New Roman" w:eastAsia="SimSun" w:hAnsi="SimSun"/>
          <w:b w:val="false"/>
          <w:bCs w:val="false"/>
        </w:rPr>
        <w:t xml:space="preserve">训练配置与跨帧方案的正式训练完全相同（全量数据、30 000 步、相同种子与超参数），预计训练约 30 小时、评测约 2.5 小时；只训练一次，不调整配额或时间分箱。无论结果如何，软件交付的主线仍是帧独立方案。</w:t>
      </w:r>
    </w:p>
    <w:p>
      <w:pPr>
        <w:pStyle w:val="Heading2"/>
        <w:spacing w:after="140" w:before="260"/>
      </w:pPr>
      <w:r>
        <w:rPr>
          <w:rFonts w:ascii="Arial" w:eastAsia="SimHei" w:hAnsi="SimHei"/>
          <w:b/>
          <w:bCs/>
          <w:color w:val="000000"/>
          <w:sz w:val="24"/>
          <w:szCs w:val="24"/>
        </w:rPr>
        <w:t xml:space="preserve">6.5 时间安排</w:t>
      </w:r>
    </w:p>
    <w:p>
      <w:pPr>
        <w:keepNext/>
        <w:spacing w:after="90" w:before="200"/>
      </w:pPr>
      <w:r>
        <w:rPr>
          <w:rFonts w:ascii="Times New Roman" w:eastAsia="SimSun" w:hAnsi="SimSun"/>
          <w:b/>
          <w:bCs/>
          <w:sz w:val="19"/>
          <w:szCs w:val="19"/>
        </w:rPr>
        <w:t xml:space="preserve">表 6-5  至结项的时间安排</w:t>
      </w:r>
    </w:p>
    <w:tbl>
      <w:tblPr>
        <w:tblW w:type="dxa" w:w="9360"/>
        <w:tblBorders>
          <w:top w:val="single" w:color="7F7F7F" w:sz="8"/>
          <w:left w:val="single" w:color="BFBFBF" w:sz="4"/>
          <w:bottom w:val="single" w:color="7F7F7F" w:sz="8"/>
          <w:right w:val="single" w:color="BFBFBF" w:sz="4"/>
          <w:insideH w:val="single" w:color="BFBFBF" w:sz="4"/>
          <w:insideV w:val="single" w:color="BFBFBF" w:sz="4"/>
        </w:tblBorders>
      </w:tblPr>
      <w:tblGrid>
        <w:gridCol w:w="2059"/>
        <w:gridCol w:w="7301"/>
      </w:tblGrid>
      <w:tr>
        <w:trPr>
          <w:cantSplit/>
          <w:tblHeader/>
        </w:trPr>
        <w:tc>
          <w:tcPr>
            <w:tcW w:type="dxa" w:w="2059"/>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时间</w:t>
            </w:r>
          </w:p>
        </w:tc>
        <w:tc>
          <w:tcPr>
            <w:tcW w:type="dxa" w:w="7301"/>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内容</w:t>
            </w:r>
          </w:p>
        </w:tc>
      </w:tr>
      <w:tr>
        <w:trPr>
          <w:cantSplit/>
          <w:tblHeader w:val="false"/>
        </w:trPr>
        <w:tc>
          <w:tcPr>
            <w:tcW w:type="dxa" w:w="2059"/>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10 月 8 日至 12 日</w:t>
            </w:r>
          </w:p>
        </w:tc>
        <w:tc>
          <w:tcPr>
            <w:tcW w:type="dxa" w:w="7301"/>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完成最小演示：三个案例的回放视频与拼图；归档案例原始材料</w:t>
            </w:r>
          </w:p>
        </w:tc>
      </w:tr>
      <w:tr>
        <w:trPr>
          <w:cantSplit/>
          <w:tblHeader w:val="false"/>
        </w:trPr>
        <w:tc>
          <w:tcPr>
            <w:tcW w:type="dxa" w:w="2059"/>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10 月 13 日至 24 日</w:t>
            </w:r>
          </w:p>
        </w:tc>
        <w:tc>
          <w:tcPr>
            <w:tcW w:type="dxa" w:w="7301"/>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方法总图、正式结果图与 token 来源诊断图；审阅 G3Q 判据</w:t>
            </w:r>
          </w:p>
        </w:tc>
      </w:tr>
      <w:tr>
        <w:trPr>
          <w:cantSplit/>
          <w:tblHeader w:val="false"/>
        </w:trPr>
        <w:tc>
          <w:tcPr>
            <w:tcW w:type="dxa" w:w="2059"/>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不晚于 10 月 31 日</w:t>
            </w:r>
          </w:p>
        </w:tc>
        <w:tc>
          <w:tcPr>
            <w:tcW w:type="dxa" w:w="7301"/>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G3Q 训练审查；批准则冻结判据后开训</w:t>
            </w:r>
          </w:p>
        </w:tc>
      </w:tr>
      <w:tr>
        <w:trPr>
          <w:cantSplit/>
          <w:tblHeader w:val="false"/>
        </w:trPr>
        <w:tc>
          <w:tcPr>
            <w:tcW w:type="dxa" w:w="2059"/>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审查后两周</w:t>
            </w:r>
          </w:p>
        </w:tc>
        <w:tc>
          <w:tcPr>
            <w:tcW w:type="dxa" w:w="7301"/>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若批准：一次训练（约 30 小时）与一次 500 局评测（约 2.5 小时）；否则并入材料整理</w:t>
            </w:r>
          </w:p>
        </w:tc>
      </w:tr>
      <w:tr>
        <w:trPr>
          <w:cantSplit/>
          <w:tblHeader w:val="false"/>
        </w:trPr>
        <w:tc>
          <w:tcPr>
            <w:tcW w:type="dxa" w:w="2059"/>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11 月下旬</w:t>
            </w:r>
          </w:p>
        </w:tc>
        <w:tc>
          <w:tcPr>
            <w:tcW w:type="dxa" w:w="7301"/>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材料收口：说明文档、报告初稿，组内一人按文档复跑读取、统计与演示命令</w:t>
            </w:r>
          </w:p>
        </w:tc>
      </w:tr>
      <w:tr>
        <w:trPr>
          <w:cantSplit/>
          <w:tblHeader w:val="false"/>
        </w:trPr>
        <w:tc>
          <w:tcPr>
            <w:tcW w:type="dxa" w:w="2059"/>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12 月</w:t>
            </w:r>
          </w:p>
        </w:tc>
        <w:tc>
          <w:tcPr>
            <w:tcW w:type="dxa" w:w="7301"/>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环境归档、冻结版本、报告定稿；月底留作缓冲</w:t>
            </w:r>
          </w:p>
        </w:tc>
      </w:tr>
      <w:tr>
        <w:trPr>
          <w:cantSplit/>
          <w:tblHeader w:val="false"/>
        </w:trPr>
        <w:tc>
          <w:tcPr>
            <w:tcW w:type="dxa" w:w="2059"/>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2027 年 1 月</w:t>
            </w:r>
          </w:p>
        </w:tc>
        <w:tc>
          <w:tcPr>
            <w:tcW w:type="dxa" w:w="7301"/>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最终验收与提交</w:t>
            </w:r>
          </w:p>
        </w:tc>
      </w:tr>
    </w:tbl>
    <w:p>
      <w:pPr>
        <w:pStyle w:val="Heading2"/>
        <w:spacing w:after="140" w:before="260"/>
      </w:pPr>
      <w:r>
        <w:rPr>
          <w:rFonts w:ascii="Arial" w:eastAsia="SimHei" w:hAnsi="SimHei"/>
          <w:b/>
          <w:bCs/>
          <w:color w:val="000000"/>
          <w:sz w:val="24"/>
          <w:szCs w:val="24"/>
        </w:rPr>
        <w:t xml:space="preserve">6.6 本阶段之外的工作</w:t>
      </w:r>
    </w:p>
    <w:p>
      <w:pPr>
        <w:spacing w:after="70" w:before="70" w:line="340"/>
        <w:ind w:firstLine="420"/>
      </w:pPr>
      <w:r>
        <w:rPr>
          <w:rFonts w:ascii="Times New Roman" w:eastAsia="SimSun" w:hAnsi="SimSun"/>
          <w:b w:val="false"/>
          <w:bCs w:val="false"/>
        </w:rPr>
        <w:t xml:space="preserve">以下内容保留在研究记录中，本阶段不列入结项验收：完整四臂 2×2 的重复训练、训练侧图像增强与深度的对齐改造、新的位置编码变体、双相机输入、更换底座与真机扩展，以及 L2（真值深度与单目深度的对比）。其中 L2 成本较低且方向明确，是有提前量时的首选。</w:t>
      </w:r>
    </w:p>
    <w:p>
      <w:pPr>
        <w:pStyle w:val="Heading1"/>
        <w:spacing w:after="140" w:before="360"/>
      </w:pPr>
      <w:r>
        <w:rPr>
          <w:rFonts w:ascii="Arial" w:eastAsia="SimHei" w:hAnsi="SimHei"/>
          <w:b/>
          <w:bCs/>
          <w:color w:val="000000"/>
          <w:sz w:val="30"/>
          <w:szCs w:val="30"/>
        </w:rPr>
        <w:t xml:space="preserve">七、资源开销与交付物</w:t>
      </w:r>
    </w:p>
    <w:p>
      <w:pPr>
        <w:keepNext/>
        <w:spacing w:after="90" w:before="200"/>
      </w:pPr>
      <w:r>
        <w:rPr>
          <w:rFonts w:ascii="Times New Roman" w:eastAsia="SimSun" w:hAnsi="SimSun"/>
          <w:b/>
          <w:bCs/>
          <w:sz w:val="19"/>
          <w:szCs w:val="19"/>
        </w:rPr>
        <w:t xml:space="preserve">表 7-1  实测资源开销</w:t>
      </w:r>
    </w:p>
    <w:tbl>
      <w:tblPr>
        <w:tblW w:type="dxa" w:w="9360"/>
        <w:tblBorders>
          <w:top w:val="single" w:color="7F7F7F" w:sz="8"/>
          <w:left w:val="single" w:color="BFBFBF" w:sz="4"/>
          <w:bottom w:val="single" w:color="7F7F7F" w:sz="8"/>
          <w:right w:val="single" w:color="BFBFBF" w:sz="4"/>
          <w:insideH w:val="single" w:color="BFBFBF" w:sz="4"/>
          <w:insideV w:val="single" w:color="BFBFBF" w:sz="4"/>
        </w:tblBorders>
      </w:tblPr>
      <w:tblGrid>
        <w:gridCol w:w="2808"/>
        <w:gridCol w:w="6552"/>
      </w:tblGrid>
      <w:tr>
        <w:trPr>
          <w:cantSplit/>
          <w:tblHeader/>
        </w:trPr>
        <w:tc>
          <w:tcPr>
            <w:tcW w:type="dxa" w:w="2808"/>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项</w:t>
            </w:r>
          </w:p>
        </w:tc>
        <w:tc>
          <w:tcPr>
            <w:tcW w:type="dxa" w:w="6552"/>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实测</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跨帧联合方案训练</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30 000 步，29.92 小时，RTX 4090，峰值显存 18.99 GB</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单帧基线训练</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30 000 步，17.2 小时，2.06 秒每步</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单次满量评测</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500 局，eval_batch = 8，视觉特征缓存开启，整体提速约 20%</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训练配置</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LoRA r = 32，学习率 5e-4，有效批 16，微批 8，冻结视觉主干，开启图像增广</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对照参数</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K = 8，stride = 16，预算 N = 256，n_t = 2</w:t>
            </w:r>
          </w:p>
        </w:tc>
      </w:tr>
    </w:tbl>
    <w:p>
      <w:pPr>
        <w:keepNext/>
        <w:spacing w:after="90" w:before="200"/>
      </w:pPr>
      <w:r>
        <w:rPr>
          <w:rFonts w:ascii="Times New Roman" w:eastAsia="SimSun" w:hAnsi="SimSun"/>
          <w:b/>
          <w:bCs/>
          <w:sz w:val="19"/>
          <w:szCs w:val="19"/>
        </w:rPr>
        <w:t xml:space="preserve">表 7-2  结项交付物</w:t>
      </w:r>
    </w:p>
    <w:tbl>
      <w:tblPr>
        <w:tblW w:type="dxa" w:w="9360"/>
        <w:tblBorders>
          <w:top w:val="single" w:color="7F7F7F" w:sz="8"/>
          <w:left w:val="single" w:color="BFBFBF" w:sz="4"/>
          <w:bottom w:val="single" w:color="7F7F7F" w:sz="8"/>
          <w:right w:val="single" w:color="BFBFBF" w:sz="4"/>
          <w:insideH w:val="single" w:color="BFBFBF" w:sz="4"/>
          <w:insideV w:val="single" w:color="BFBFBF" w:sz="4"/>
        </w:tblBorders>
      </w:tblPr>
      <w:tblGrid>
        <w:gridCol w:w="2808"/>
        <w:gridCol w:w="6552"/>
      </w:tblGrid>
      <w:tr>
        <w:trPr>
          <w:cantSplit/>
          <w:tblHeader/>
        </w:trPr>
        <w:tc>
          <w:tcPr>
            <w:tcW w:type="dxa" w:w="2808"/>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交付物</w:t>
            </w:r>
          </w:p>
        </w:tc>
        <w:tc>
          <w:tcPr>
            <w:tcW w:type="dxa" w:w="6552"/>
            <w:shd w:fill="EDEDED" w:color="auto" w:val="clear"/>
            <w:tcMar>
              <w:top w:type="dxa" w:w="70"/>
              <w:left w:type="dxa" w:w="100"/>
              <w:bottom w:type="dxa" w:w="70"/>
              <w:right w:type="dxa" w:w="100"/>
            </w:tcMar>
          </w:tcPr>
          <w:p>
            <w:pPr>
              <w:spacing w:line="280"/>
              <w:jc w:val="center"/>
            </w:pPr>
            <w:r>
              <w:rPr>
                <w:rFonts w:ascii="Times New Roman" w:eastAsia="SimSun" w:hAnsi="SimSun"/>
                <w:b w:val="false"/>
                <w:bCs w:val="false"/>
                <w:sz w:val="19"/>
                <w:szCs w:val="19"/>
              </w:rPr>
              <w:t xml:space="preserve">内容</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多帧输入系统</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K 帧数据管线、池化算子、4D 位置编码与模型接线，七组对照共用一份实现</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评测与记录链路</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满量闭环评测、逐局结果、来源元数据与哈希、回归测试</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正式实验结果</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三种方法各 500 局的成功率与逐任务结果，含主口径与辅助口径</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机制诊断材料</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固定案例的轨迹、token 来源统计、诊断表与离线分配对照</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受限改版</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G3Q 的设计、实现、单元测试与离线分配对照；若批准训练，另含一次 500 局评测结果</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最小演示</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并排展示当前视角、历史帧、池化前后 token 数、token 来源与动作成败，含成功与失败各一例</w:t>
            </w:r>
          </w:p>
        </w:tc>
      </w:tr>
      <w:tr>
        <w:trPr>
          <w:cantSplit/>
          <w:tblHeader w:val="false"/>
        </w:trPr>
        <w:tc>
          <w:tcPr>
            <w:tcW w:type="dxa" w:w="2808"/>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复现材料</w:t>
            </w:r>
          </w:p>
        </w:tc>
        <w:tc>
          <w:tcPr>
            <w:tcW w:type="dxa" w:w="6552"/>
            <w:tcMar>
              <w:top w:type="dxa" w:w="70"/>
              <w:left w:type="dxa" w:w="100"/>
              <w:bottom w:type="dxa" w:w="70"/>
              <w:right w:type="dxa" w:w="100"/>
            </w:tcMar>
          </w:tcPr>
          <w:p>
            <w:pPr>
              <w:spacing w:line="280"/>
              <w:jc w:val="left"/>
            </w:pPr>
            <w:r>
              <w:rPr>
                <w:rFonts w:ascii="Times New Roman" w:eastAsia="SimSun" w:hAnsi="SimSun"/>
                <w:b w:val="false"/>
                <w:bCs w:val="false"/>
                <w:sz w:val="19"/>
                <w:szCs w:val="19"/>
              </w:rPr>
              <w:t xml:space="preserve">方法总图、结果表、运行命令、环境说明</w:t>
            </w:r>
          </w:p>
        </w:tc>
      </w:tr>
    </w:tbl>
    <w:sectPr>
      <w:footerReference w:type="default" r:id="rId7"/>
      <w:pgSz w:w="11906" w:h="16838"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SimSu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SimSun"/>
        <w:sz w:val="21"/>
        <w:szCs w:val="21"/>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2026-10-08T11:32:00.666Z</dcterms:created>
  <dcterms:modified xsi:type="dcterms:W3CDTF">2026-10-08T11:32:00.679Z</dcterms:modified>
</cp:coreProperties>
</file>

<file path=docProps/custom.xml><?xml version="1.0" encoding="utf-8"?>
<Properties xmlns="http://schemas.openxmlformats.org/officeDocument/2006/custom-properties" xmlns:vt="http://schemas.openxmlformats.org/officeDocument/2006/docPropsVTypes"/>
</file>