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900"/>
        <w:jc w:val="center"/>
      </w:pPr>
      <w:r>
        <w:rPr>
          <w:rFonts w:ascii="Arial" w:eastAsia="SimHei" w:hAnsi="SimHei"/>
          <w:b/>
          <w:bCs/>
          <w:sz w:val="44"/>
          <w:szCs w:val="44"/>
        </w:rPr>
        <w:t xml:space="preserve">VLA-4D 项目中期报告</w:t>
      </w:r>
    </w:p>
    <w:p>
      <w:pPr>
        <w:spacing w:after="700"/>
        <w:jc w:val="center"/>
      </w:pPr>
      <w:r>
        <w:rPr>
          <w:rFonts w:ascii="Arial" w:eastAsia="SimHei" w:hAnsi="SimHei"/>
          <w:color w:val="404040"/>
          <w:sz w:val="24"/>
          <w:szCs w:val="24"/>
        </w:rPr>
        <w:t xml:space="preserve">固定视觉 token 预算下的历史观测利用：基于 OpenVLA 与 LIBERO-Long 的实证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926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2026 年 9 月 22 日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当前阶段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仿真主实验已完成，进入机制诊断、演示与材料整理阶段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底座与任务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OpenVLA-7B（LoRA 微调，冻结视觉主干）；LIBERO-Long（libero_10）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评测口径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个任务 × 50 局 = 500 局，确定性初始状态，eval_batch = 8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结项时间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一、项目概述与主要结果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本项目研究一个问题：在视觉 token 预算固定的前提下，如何利用历史观测改善机器人操作。预算固定的含义是，多帧输入经压缩后进入语言模型的视觉 token 数与单帧相同（N = 256），因此任何性能变化都不来自“多喂了 token”。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围绕这一问题，我们在 OpenVLA-7B 上实现了完整的多帧视觉输入链路，并在 LIBERO-Long 上完成了三种方法的独立训练与满量闭环评测，每种方法 500 局。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1-1  主要结果（同一训练条件：30 000 步，n = 500，eval_batch = 8）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1591"/>
        <w:gridCol w:w="1404"/>
        <w:gridCol w:w="1778"/>
        <w:gridCol w:w="1779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成功局数</w:t>
            </w:r>
          </w:p>
        </w:tc>
        <w:tc>
          <w:tcPr>
            <w:tcW w:type="dxa" w:w="140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成功率</w:t>
            </w:r>
          </w:p>
        </w:tc>
        <w:tc>
          <w:tcPr>
            <w:tcW w:type="dxa" w:w="177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G0</w:t>
            </w:r>
          </w:p>
        </w:tc>
        <w:tc>
          <w:tcPr>
            <w:tcW w:type="dxa" w:w="177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G0：单帧基线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117/500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23.40%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−18.80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G3：跨帧联合池化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118/500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23.60%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+0.20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−18.60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G2：帧独立池化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211/500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42.20%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+18.80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两点结论。其一，</w:t>
      </w:r>
      <w:r>
        <w:rPr>
          <w:rFonts w:ascii="Times New Roman" w:eastAsia="SimSun" w:hAnsi="SimSun"/>
          <w:b/>
          <w:bCs/>
        </w:rPr>
        <w:t xml:space="preserve">在预算固定的条件下引入历史观测是有效的</w:t>
      </w:r>
      <w:r>
        <w:rPr>
          <w:rFonts w:ascii="Times New Roman" w:eastAsia="SimSun" w:hAnsi="SimSun"/>
          <w:b w:val="false"/>
          <w:bCs w:val="false"/>
        </w:rPr>
        <w:t xml:space="preserve">：帧独立多帧方案比单帧基线高出 18.80 个百分点。其二，</w:t>
      </w:r>
      <w:r>
        <w:rPr>
          <w:rFonts w:ascii="Times New Roman" w:eastAsia="SimSun" w:hAnsi="SimSun"/>
          <w:b/>
          <w:bCs/>
        </w:rPr>
        <w:t xml:space="preserve">聚合方式决定了这份收益能否保留</w:t>
      </w:r>
      <w:r>
        <w:rPr>
          <w:rFonts w:ascii="Times New Roman" w:eastAsia="SimSun" w:hAnsi="SimSun"/>
          <w:b w:val="false"/>
          <w:bCs w:val="false"/>
        </w:rPr>
        <w:t xml:space="preserve">：让八帧在一个全局预算中共同竞争的跨帧联合池化，其成功率与单帧基线基本持平（+0.20 点），历史观测带来的增益没有被保留下来。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项目据此选择帧独立方案作为软件交付的主线，并把当前阶段的工作集中在三件事上：用小样本固定案例诊断跨帧聚合的机制、做出可回放的最小演示、完成结项材料。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二、研究问题与技术路线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2.1 命题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申报方向是 4D（三维空间加时间）时空感知用于机器人操作。为使其可实验检验，我们把它收缩为一个具体命题：</w:t>
      </w:r>
      <w:r>
        <w:rPr>
          <w:rFonts w:ascii="Times New Roman" w:eastAsia="SimSun" w:hAnsi="SimSun"/>
          <w:b/>
          <w:bCs/>
        </w:rPr>
        <w:t xml:space="preserve">固定视觉 token 预算下，怎样保留当前观测，并利用历史观测改善机器人操作？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收缩的方法是四步：固定可控变量（底座模型、任务集、token 预算）；把“4D 有用”拆成互相独立、可分别检验的假设层；为每一层配一个能够否证它的对照臂；在实验开始之前写下判据、样本量与决策规则。命题本身不预设跨帧池化或度量坐标一定更好，因此任一方向的结果都是可报告的结论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2.2 四层假设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分层的作用是使结论可定位：某一层的结果不会连带决定其余各层。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2-1  四层假设及其检验状态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655"/>
        <w:gridCol w:w="3089"/>
        <w:gridCol w:w="2434"/>
        <w:gridCol w:w="3182"/>
      </w:tblGrid>
      <w:tr>
        <w:trPr>
          <w:cantSplit/>
          <w:tblHeader/>
        </w:trPr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层</w:t>
            </w:r>
          </w:p>
        </w:tc>
        <w:tc>
          <w:tcPr>
            <w:tcW w:type="dxa" w:w="308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命题</w:t>
            </w:r>
          </w:p>
        </w:tc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318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L0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同预算下历史帧有用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对 G0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成立（+18.80 点，30k 步）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分配所用坐标系有影响，度量 4D 优于图像网格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G3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未能证实（+1.78 点，p = 0.57）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池化与位置编码对坐标质量的要求不同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真值深度对单目深度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本阶段未排期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两侧使用同一套坐标本身有用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M2 且 G4 对 M3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不成立（其中一条为负）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需要区分“未能证实”与“证伪”：L1 的效应量点估计为正但未达显著，而 LIBERO 的样本量存在上限（见 4.6），故记为未能证实。引用该结论时应一并给出这一条件。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2.3 七组对照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七组对照由同一份模型接线代码产生，差别仅在一个方法参数。这样能保证组间差异只来自设计变量，而不来自实现路径。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2-2  七组对照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655"/>
        <w:gridCol w:w="2059"/>
        <w:gridCol w:w="1310"/>
        <w:gridCol w:w="1591"/>
        <w:gridCol w:w="290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池化方式</w:t>
            </w:r>
          </w:p>
        </w:tc>
        <w:tc>
          <w:tcPr>
            <w:tcW w:type="dxa" w:w="131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池化坐标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位置编码坐标</w:t>
            </w:r>
          </w:p>
        </w:tc>
        <w:tc>
          <w:tcPr>
            <w:tcW w:type="dxa" w:w="290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1D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待定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本阶段未实现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帧独立池化到 N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帧独立参照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跨帧联合的基准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完整度量方案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G3、M3、M2、G4 构成（池化坐标）×（位置编码坐标）的 2×2 设计，可把“坐标系是否起作用”分解为两个主效应与一个交互项。两个坐标错配对照是该设计的关键：有了它们，G4 与 G3 的差异才能归因到具体的某一侧。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2.4 实验规范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为使结果可核验、可复现，本项目在流程上固定了四条规范。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事前登记。</w:t>
      </w:r>
      <w:r>
        <w:rPr>
          <w:rFonts w:ascii="Times New Roman" w:eastAsia="SimSun" w:hAnsi="SimSun"/>
          <w:b w:val="false"/>
          <w:bCs w:val="false"/>
        </w:rPr>
        <w:t xml:space="preserve">每次主实验开始之前，判据表、样本量估计与决策规则先行写定。本项目已执行两次事前登记，第二次在 9 月 20 日按规则触发了路线决策。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统一代码路径。</w:t>
      </w:r>
      <w:r>
        <w:rPr>
          <w:rFonts w:ascii="Times New Roman" w:eastAsia="SimSun" w:hAnsi="SimSun"/>
          <w:b w:val="false"/>
          <w:bCs w:val="false"/>
        </w:rPr>
        <w:t xml:space="preserve">七组对照共用一份接线实现，杜绝组间实现差异。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来源记录。</w:t>
      </w:r>
      <w:r>
        <w:rPr>
          <w:rFonts w:ascii="Times New Roman" w:eastAsia="SimSun" w:hAnsi="SimSun"/>
          <w:b w:val="false"/>
          <w:bCs w:val="false"/>
        </w:rPr>
        <w:t xml:space="preserve">训练与评测各自产出结构化的来源元数据，包括配置、源码哈希、权重哈希、动作统计量与初始状态哈希；完整 checkpoint 路径与配置参与日志身份，默认拒绝覆盖已有记录。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回归测试。</w:t>
      </w:r>
      <w:r>
        <w:rPr>
          <w:rFonts w:ascii="Times New Roman" w:eastAsia="SimSun" w:hAnsi="SimSun"/>
          <w:b w:val="false"/>
          <w:bCs w:val="false"/>
        </w:rPr>
        <w:t xml:space="preserve">当前 53 项测试全部通过，覆盖池化算子在各种历史长度下的行为、诊断开关不改变被测量、导出格式的版本与字段校验等。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三、系统实现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3.1 数据侧：带间隔的 K 帧窗口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官方 RLDS 数据管线只支持连续窗口，我们替换了分窗函数以支持带间隔的历史采样（K = 8，stride = 16），窗口开头历史不足时重复最早一帧并置补帧掩码。帧间隔由实测确定：以特征距离比值落在 0.5 至 0.8 带内为判据，带内取最小值以减少补帧。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3.2 模型侧：一份接线产生全部对照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共三个挂载点：视觉主干（K 帧分块前向）、投影器（执行池化并给出位置编码所需坐标）、每一层的 rotary_emb（4D RoPE 采用扩展式，保留原有 1D 通路）。池化算子为等量分箱，在图像网格坐标上与均匀体素逐位等价，在真值深度上把预算占用从 240 提高到 256。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池化的位置处理来自前期的一项实测结论：把压缩后 token 的位置还原为其成分 patch 的质心，成功率从 18.0% 提高到 72.5%。这说明压缩带来的性能损失主要来自位置偏移而非信息丢失，也是“用坐标组织压缩”这一设计的出发点。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接线在真实 7B 模型上通过四项检查，其中两项具有证伪能力：改变深度输入时 G4 的输出随之变化而 G3 精确不变，说明度量坐标确实进入了模型；G4 与 M2 的 logits 不同，说明位置编码侧的坐标确实起作用。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3.3 评测侧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LIBERO-Long 10 个任务，每任务 50 个确定性初始状态，构成 500 局的满量评测。两项工程优化：视觉特征缓存（视觉主干冻结，同一帧的特征逐位相同，已用逐位对拍验证，整体提速约 20%）与批量评测（eval_batch = 8）。每局的成功与否单独落盘，因此任何两种方法之间都可以按相同初始状态做逐局配对分析。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3.4 诊断与演示工具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为支撑机制分析与结项演示，本阶段实现了一套默认关闭的只读记录能力，开启后不改变评测路径、随机数顺序与成功判定：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轨迹导出。</w:t>
      </w:r>
      <w:r>
        <w:rPr>
          <w:rFonts w:ascii="Times New Roman" w:eastAsia="SimSun" w:hAnsi="SimSun"/>
          <w:b w:val="false"/>
          <w:bCs w:val="false"/>
        </w:rPr>
        <w:t xml:space="preserve">逐步记录动作、环境步、成功状态、八个历史帧的来源步编号与关键帧图像，采用逐行可恢复格式并原子发布，带 schema 版本，读取器对缺字段给出明确错误。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token 来源统计。</w:t>
      </w:r>
      <w:r>
        <w:rPr>
          <w:rFonts w:ascii="Times New Roman" w:eastAsia="SimSun" w:hAnsi="SimSun"/>
          <w:b w:val="false"/>
          <w:bCs w:val="false"/>
        </w:rPr>
        <w:t xml:space="preserve">记录每个输出 token 的来源帧、贡献 patch 数与权重，由此可得最新帧的贡献质量、仅由最新帧构成的 token 数、跨帧混合 token 比例、每个 token 覆盖的时间跨度，以及补帧与真实历史帧的区分。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固定案例启动器。</w:t>
      </w:r>
      <w:r>
        <w:rPr>
          <w:rFonts w:ascii="Times New Roman" w:eastAsia="SimSun" w:hAnsi="SimSun"/>
          <w:b w:val="false"/>
          <w:bCs w:val="false"/>
        </w:rPr>
        <w:t xml:space="preserve">按预先冻结的案例清单运行指定的任务与局次，输出明确标记为案例集，不会与正式结果混淆。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其中“每帧分到多少 token”需要先有定义：跨帧池化的一个输出 token 由多帧共同构成，因此我们采用按 patch 计数的分数归属，各帧贡献之和等于实际使用的 token 数。该定义随结论一同给出。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四、实验结果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4.1 链路与前提验证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主实验之前先完成一批具有证伪能力的前置验证，以保证后续结果可归因于设计变量。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4-1  前置验证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2340"/>
        <w:gridCol w:w="2995"/>
        <w:gridCol w:w="1217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验证项</w:t>
            </w:r>
          </w:p>
        </w:tc>
        <w:tc>
          <w:tcPr>
            <w:tcW w:type="dxa" w:w="234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事前判据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121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评测链路在 K=1 上的正确性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官方 checkpoint 走本链路不低于 45.8%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48.2%（241/500），参考实现 52.0%，p = 0.23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度量方案的物理基础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跨帧深度跳变率与幅度均超过 15%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23.5% 与 19.2%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相机反投影精度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以仿真器 site 世界坐标为锚点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p10 = 0.45 cm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模型接线是否生效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四项，其中两项可证伪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四项全部通过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显存与历史长度的关系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冻结视觉主干时 K=8 为 17.4 GB，K=16 为 19.2 GB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不构成瓶颈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4.2 主结果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表 1-1 给出了三种方法在同一训练条件下的成功率。按事前登记的辅助口径（排除 task 1，该任务在固定子集中的覆盖率仅 4%）：G2 为 41.56%（187/450），G3 为 23.78%（107/450），差 −17.78 点。逐任务看，G3 在十个任务中有八个低于 G2；差距最大的是 task 2（−42 点）与 task 4（−30 点），而 task 3 上 G3 高出 20 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关于基线的绝对水平：G0 的 23.40% 与官方 checkpoint 在同一链路上的 48.2% 之间的差距，来自训练充分程度——同数据同路径下，官方的动作 token 准确率为 0.9958，本项目 G0 为 0.705；G0 的准确率曲线到最后 5 000 步仍以每千步 +0.0117 上升。三种方法处于同一训练预算下，因此组间比较成立；与文献绝对值并列时需说明这一条件。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4.3 预算翻倍下的稳健性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为检验 L0 不只在某一训练预算下成立，我们在 50 000 步上重复了 G0 与 G2：31.8% 提高到 48.0%，差 16.2 点，z = 5.31，p = 1.1e-7，置信区间 [10.2, 22.2]，事前阈值为点估计不低于 10.7 点。G2 在 50 000 步上的 48.0% 与官方在同一链路上的 48.2% 相当，而本项目冻结了视觉主干、训练样本量约为官方的 1/53。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需要说明口径：16.2 点来自 50 000 步的 G2 与 G0，18.60 点来自 30 000 步的 G3 与 G2，两者训练预算不同；主结果表统一使用 30 000 步这一组。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4.4 坐标系对照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4-2  2×2 主效应分解（9 任务口径，固定子集训练）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3557"/>
        <w:gridCol w:w="2808"/>
        <w:gridCol w:w="2995"/>
      </w:tblGrid>
      <w:tr>
        <w:trPr>
          <w:cantSplit/>
          <w:tblHeader/>
        </w:trPr>
        <w:tc>
          <w:tcPr>
            <w:tcW w:type="dxa" w:w="355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点估计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判读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+4.22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方向为正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−2.44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方向为负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交互项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+3.11 ± 4.17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不显著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L1：G4 − G3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+1.78 点（z = 0.57，p = 0.57）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L3：G4 − M2 与 G4 − M3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−0.89 点 与 +5.78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两条须同时为正，故不成立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一个方向性观察：位置编码侧采用度量坐标的主效应点估计为负，而 SpatialVLA 在不池化设定下的 Ego3D 位置编码报告为 +27.3 点。这提示同一套坐标在“参与压缩分配”与“仅作位置编码”两种用法下并不等价。该观察取自固定子集（255/379）训练的四臂，样本条件与主结果不同，目前作为机制线索保留。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4.5 补帧条件下的池化算子改进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在分析历史长度不足的窗口时，我们定位到分箱实现中的一处边界条件：占用数估计与实际分配使用了两套不一致的时间边界，历史不足时非空箱数会超出预算，按箱排序截断后最新一帧可能被整帧丢弃。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 CPU 上以 K = 8、stride = 16、N = 256、n_t = 2 复现：真实帧数为 2、3、4 时最新帧保留的 patch 数为 0/256，对应 episode 的第 16 至 63 步。帧独立方案不受影响，因为其输出 token 不跨帧。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据此实现了固定时间轴与分组轴的分箱模式，自由空间轴继续等量分箱。新模式在完整八帧情形以及帧独立分组上与原实现逐位一致，只改变历史不足时的行为，并保证 1 至 8 个有效帧下全部有效 patch 均被保留；该性质已写入回归测试。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随后从底座独立重训了采用新模式的 G3（30 000 步，29.92 小时，RTX 4090，峰值显存 18.99 GB）并做满量评测，得到表 1-1 中的 23.60%。这一结果表明该边界条件虽然真实存在，但不是跨帧联合池化与帧独立方案之间差距的主要成因；机制解释因此转入本阶段的分配诊断。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4.6 统计口径与检验方法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 的 n = 500（50 个初始状态 × 10 个任务，确定性评测）是样本量上限。按实测不一致率反推，检出 1.78 点需要 n 约 8358，检出 3 点需要 n 约 4300。因此 L1 与 L3 记为“未能证实”而非“证伪”，这一条件应与结论同时给出。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配对分析方面：G3 与 G4 的逐局不一致对为 152/450 = 33.8%，配对标准误为 2.74，非配对为 2.98。两种方法在三分之一的局上给出不同结果，逐局近似独立，因此配对带来的灵敏度提升有限。分析脚本逐对输出配对标准误，使该信息始终可见。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五、当前结论与适用范围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成果表述：</w:t>
      </w:r>
      <w:r>
        <w:rPr>
          <w:rFonts w:ascii="Times New Roman" w:eastAsia="SimSun" w:hAnsi="SimSun"/>
          <w:b w:val="false"/>
          <w:bCs w:val="false"/>
        </w:rPr>
        <w:t xml:space="preserve">在现有实验条件下，帧独立多帧方案优于单帧基线；跨帧联合池化未获得进一步收益，与单帧基线基本持平。项目据此以帧独立方案推进软件交付，并通过分配诊断与最小演示解释该工程边界。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5-1  结论的适用范围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条件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比较的对象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与 G3 之间比较的是聚合方式；“历史观测有用”这一结论由 G0 与 G2 的对照支持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样本量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n = 500 为 LIBERO 的上限，小于该上限可检出的效应量记为未能证实而非证伪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训练种子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每种方法各有一个训练种子，故以固定测试集上的实测差值为主要依据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有效 token 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当前实现中跨帧联合方案使用 242 个有效槽、度量方案使用 256 个；跨方法拉平的开关已实现并默认关闭，启用需重新训练相应各臂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图像增强与深度对齐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训练侧随机裁剪与预计算的 patch 深度之间存在约 1.4 至 2.8 cm 的世界系偏移，约为分箱宽度的九分之一；几何原语已统一，默认关闭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小样本材料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本阶段采集的固定案例用于机制诊断与演示，不用于更新成功率或计算总体置信区间</w:t>
            </w:r>
          </w:p>
        </w:tc>
      </w:tr>
    </w:tbl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六、后续工作与排期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6.1 本阶段的范围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仿真主实验已经完成，且早于原定排期约两个月。本阶段不启动新的训练，也不重复已完成的满量评测；工作集中在两个问题上：跨帧聚合是否稀释了当前观测或丢失了时间身份；以及能否把已有系统整理成可复现、可解释、可演示的结项成果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6.2 六个阶段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6-1  阶段划分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749"/>
        <w:gridCol w:w="2808"/>
        <w:gridCol w:w="3931"/>
        <w:gridCol w:w="1872"/>
      </w:tblGrid>
      <w:tr>
        <w:trPr>
          <w:cantSplit/>
          <w:tblHeader/>
        </w:trPr>
        <w:tc>
          <w:tcPr>
            <w:tcW w:type="dxa" w:w="74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任务</w:t>
            </w:r>
          </w:p>
        </w:tc>
        <w:tc>
          <w:tcPr>
            <w:tcW w:type="dxa" w:w="393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主要产物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开工审计与证据冻结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状态记录、固定案例清单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实现只读的轨迹与 token 来源记录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轨迹导出、来源分配统计、测试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三种方法在固定案例上的短时采集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18 个方法-案例的可追溯记录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不超过 90 分钟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离线分配诊断与最小演示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统计表、案例图或视频、回放入口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一次决策门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停止，或提出一个受限改版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默认无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结项材料收口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说明文档、报告素材、复现命令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C 的规模刻意压到最小：3 个任务 × 每任务 2 局 × 3 种方法 = 18 个方法-案例，总 GPU 占用不超过 90 分钟，评测批量固定为 1，输出标记为案例集。案例在任何新推理之前即已冻结：任务固定为 task 2、4（跨帧方案表现较差）与 task 5，每个任务取编号最小的一个成功局与一个失败局，成败标签取自正式的 500 局记录；选择规则随材料一并披露。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6.3 当前状态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6-2  2026-09-22 的完成情况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1123"/>
        <w:gridCol w:w="6365"/>
        <w:gridCol w:w="1872"/>
      </w:tblGrid>
      <w:tr>
        <w:trPr>
          <w:cantSplit/>
          <w:tblHeader/>
        </w:trPr>
        <w:tc>
          <w:tcPr>
            <w:tcW w:type="dxa" w:w="112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636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事项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正式证据核对：逐局记录 500 行、键唯一、成功数一致，日志哈希已记录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六个案例已冻结并归档，含选择规则与生成时间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轨迹导出、逐 token 来源统计、原子发布、读取校验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固定案例启动器与其测试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服务器开机后核对三个 checkpoint，并以六局做首次端到端验收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诊断表与最小演示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决策门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材料收口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采集顺序为 G3 六局、G2 六局、G0 六局，三者使用相同的任务、episode、初始状态、评测种子、裁剪方式与动作后处理。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6.4 决策门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D 完成后作一次判断，三种结果各自对应的动作已写定：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若证据支持跨帧混合稀释了当前观测</w:t>
      </w:r>
      <w:r>
        <w:rPr>
          <w:rFonts w:ascii="Times New Roman" w:eastAsia="SimSun" w:hAnsi="SimSun"/>
          <w:b w:val="false"/>
          <w:bCs w:val="false"/>
        </w:rPr>
        <w:t xml:space="preserve">：提出一个受限改版——为当前帧预留独立 token 配额，其余预算分配给历史，并保留帧身份。先完成设计、单元测试与离线分配对照，训练资源另行申请。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若固定案例没有一致的机制信号</w:t>
      </w:r>
      <w:r>
        <w:rPr>
          <w:rFonts w:ascii="Times New Roman" w:eastAsia="SimSun" w:hAnsi="SimSun"/>
          <w:b w:val="false"/>
          <w:bCs w:val="false"/>
        </w:rPr>
        <w:t xml:space="preserve">：停止方法扩展，记为当前证据下无法定位单一机制，进入材料收口。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若导出链路本身需要调整</w:t>
      </w:r>
      <w:r>
        <w:rPr>
          <w:rFonts w:ascii="Times New Roman" w:eastAsia="SimSun" w:hAnsi="SimSun"/>
          <w:b w:val="false"/>
          <w:bCs w:val="false"/>
        </w:rPr>
        <w:t xml:space="preserve">：修正工具并重采同样的六局，不增加任务或 episode 数。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6.5 时间安排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6-3  至结项的时间安排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059"/>
        <w:gridCol w:w="7301"/>
      </w:tblGrid>
      <w:tr>
        <w:trPr>
          <w:cantSplit/>
          <w:tblHeader/>
        </w:trPr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730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9 月下旬至 10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C 与 D：固定案例采集、分配诊断表、最小回放演示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月至 11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E 与 F：决策门与材料收口；组内复核，由他人按文档复跑读取、统计与演示命令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12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报告定稿、方法总图与 token 来源诊断图、冻结版本、归档源码、日志、清单、图表与视频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最终验收与提交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6.6 本阶段之外的工作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以下内容保留在研究记录中，本阶段不列入结项验收：完整四臂 2×2 的重复训练、训练侧图像增强与深度的对齐改造、新的位置编码变体、双相机输入、更换底座与真机扩展，以及 L2（真值深度与单目深度的对比）。其中 L2 成本较低且方向明确，是有提前量时的首选。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七、资源开销与交付物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7-1  实测资源开销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跨帧联合方案训练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步，29.92 小时，RTX 4090，峰值显存 18.99 GB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步，17.2 小时，2.06 秒每步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单次满量评测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500 局，eval_batch = 8，视觉特征缓存开启，整体提速约 20%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训练配置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LoRA r = 32，学习率 5e-4，有效批 16，微批 8，冻结视觉主干，开启图像增广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对照参数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= 8，stride = 16，预算 N = 256，n_t = 2</w:t>
            </w:r>
          </w:p>
        </w:tc>
      </w:tr>
    </w:tbl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7-2  结项交付物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交付物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多帧输入系统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帧数据管线、池化算子、4D 位置编码与模型接线，七组对照共用一份实现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评测与记录链路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满量闭环评测、逐局结果、来源元数据与哈希、回归测试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正式实验结果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三种方法各 500 局的成功率与逐任务结果，含主口径与辅助口径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机制诊断材料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固定案例的轨迹、token 来源统计与诊断表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最小演示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并排展示当前视角、历史帧、池化前后 token 数、token 来源与动作成败，含成功与失败各一例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复现材料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方法总图、结果表、运行命令、环境说明</w:t>
            </w:r>
          </w:p>
        </w:tc>
      </w:tr>
    </w:tbl>
    <w:sectPr>
      <w:footerReference w:type="default" r:id="rId7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SimSun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2026-09-24T09:13:38.345Z</dcterms:created>
  <dcterms:modified xsi:type="dcterms:W3CDTF">2026-09-24T09:13:38.356Z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