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2100"/>
      </w:pPr>
    </w:p>
    <w:p>
      <w:pPr>
        <w:spacing w:after="300"/>
        <w:jc w:val="center"/>
      </w:pPr>
      <w:r>
        <w:rPr>
          <w:b/>
          <w:bCs/>
          <w:color w:val="147D73"/>
          <w:spacing w:val="80"/>
          <w:sz w:val="22"/>
          <w:szCs w:val="22"/>
        </w:rPr>
        <w:t xml:space="preserve">BSAAI CAPSTONE PROPOSAL</w:t>
      </w:r>
    </w:p>
    <w:p>
      <w:pPr>
        <w:spacing w:after="180"/>
        <w:jc w:val="center"/>
      </w:pPr>
      <w:r>
        <w:rPr>
          <w:b/>
          <w:bCs/>
          <w:color w:val="153A5B"/>
          <w:sz w:val="42"/>
          <w:szCs w:val="42"/>
        </w:rPr>
        <w:t xml:space="preserve">Autonomous Pancreatic Lesion Detection</w:t>
      </w:r>
    </w:p>
    <w:p>
      <w:pPr>
        <w:spacing w:after="600"/>
        <w:jc w:val="center"/>
      </w:pPr>
      <w:r>
        <w:rPr>
          <w:b/>
          <w:bCs/>
          <w:color w:val="147D73"/>
          <w:sz w:val="32"/>
          <w:szCs w:val="32"/>
        </w:rPr>
        <w:t xml:space="preserve">and Radiologist Review System</w:t>
      </w:r>
    </w:p>
    <w:p>
      <w:pPr>
        <w:pBdr>
          <w:top w:val="single" w:color="C8D4DC" w:sz="8" w:space="12"/>
        </w:pBdr>
        <w:spacing w:after="240" w:before="280"/>
        <w:jc w:val="center"/>
      </w:pPr>
      <w:r>
        <w:rPr>
          <w:b/>
          <w:bCs/>
          <w:color w:val="24313D"/>
          <w:sz w:val="26"/>
          <w:szCs w:val="26"/>
        </w:rPr>
        <w:t xml:space="preserve">Quinn Evans</w:t>
      </w:r>
    </w:p>
    <w:p>
      <w:pPr>
        <w:spacing w:after="100"/>
        <w:jc w:val="center"/>
      </w:pPr>
      <w:r>
        <w:rPr>
          <w:color w:val="5D6A74"/>
          <w:sz w:val="21"/>
          <w:szCs w:val="21"/>
        </w:rPr>
        <w:t xml:space="preserve">Bachelor of Science in Applied Artificial Intelligence and Data Engineering</w:t>
      </w:r>
    </w:p>
    <w:p>
      <w:pPr>
        <w:jc w:val="center"/>
      </w:pPr>
      <w:r>
        <w:rPr>
          <w:color w:val="5D6A74"/>
          <w:sz w:val="20"/>
          <w:szCs w:val="20"/>
        </w:rPr>
        <w:t xml:space="preserve">August 25, 2026</w:t>
      </w:r>
    </w:p>
    <w:p>
      <w:r>
        <w:br w:type="page"/>
      </w:r>
    </w:p>
    <w:p>
      <w:pPr>
        <w:pStyle w:val="Heading1"/>
      </w:pPr>
      <w:r>
        <w:t xml:space="preserve">1. Project Overview</w:t>
      </w:r>
    </w:p>
    <w:p>
      <w:pPr>
        <w:pStyle w:val="BodyText"/>
      </w:pPr>
      <w:r>
        <w:t xml:space="preserve">Pancreatic lesions are difficult to find and outline on abdominal CT because the pancreas is small, variable in shape, and surrounded by other soft-tissue structures. This project will extend an existing 3D segmentation system into an autonomous annotation-assist workflow for radiologists and radiology clinicians. The goal is to help a qualified reviewer reach a suspicious region faster, not to replace clinical judgment.</w:t>
      </w:r>
    </w:p>
    <w:p>
      <w:pPr>
        <w:pStyle w:val="BodyText"/>
      </w:pPr>
      <w:r>
        <w:t xml:space="preserve">When a CT scan enters the system, the imaging pipeline will locate the pancreas, outline the pancreas and any suspected lesion, calculate useful measurements, and assign a score that helps order the review worklist. The reviewer will see the scan and proposed contours, then accept, edit, or reject them. That decision will be stored so the system retains a record of its corrections and limitations.</w:t>
      </w:r>
    </w:p>
    <w:p>
      <w:pPr>
        <w:pStyle w:val="BodyText"/>
      </w:pPr>
      <w:r>
        <w:t xml:space="preserve">The project also includes an evidence-grounded literature assistant connected to the structured imaging findings. It will retrieve relevant source passages, show citations beside supported statements, and decline when the available material does not support an answer. The complete system will integrate medical-image machine learning, multi-source data engineering, persistence, model evaluation, workflow automation, and a professional review interface.</w:t>
      </w:r>
    </w:p>
    <w:p>
      <w:pPr>
        <w:pStyle w:val="Callout"/>
      </w:pPr>
      <w:r>
        <w:rPr>
          <w:b/>
          <w:bCs/>
          <w:color w:val="147D73"/>
        </w:rPr>
        <w:t xml:space="preserve">Scope guardrail. </w:t>
      </w:r>
      <w:r>
        <w:t xml:space="preserve">This is a segmentation and review-support system. It does not diagnose disease, determine treatment, or make a clinical claim.</w:t>
      </w:r>
    </w:p>
    <w:p>
      <w:pPr>
        <w:pStyle w:val="Heading1"/>
      </w:pPr>
      <w:r>
        <w:t xml:space="preserve">2. Problem, User, and Intended Value</w:t>
      </w:r>
    </w:p>
    <w:p>
      <w:pPr>
        <w:pStyle w:val="BodyText"/>
      </w:pPr>
      <w:r>
        <w:rPr>
          <w:b/>
          <w:bCs/>
          <w:color w:val="153A5B"/>
        </w:rPr>
        <w:t xml:space="preserve">The user. </w:t>
      </w:r>
      <w:r>
        <w:t xml:space="preserve">The direct user is a radiologist or radiology clinician reviewing abdominal CT. The system supports the decision to accept, revise, or reject proposed contours and whether a case deserves closer review. The indirect beneficiary is the patient, because a reliable annotation-assist tool can reduce the time required to reach and evaluate a relevant region.</w:t>
      </w:r>
    </w:p>
    <w:p>
      <w:pPr>
        <w:pStyle w:val="BodyText"/>
      </w:pPr>
      <w:r>
        <w:rPr>
          <w:b/>
          <w:bCs/>
          <w:color w:val="153A5B"/>
        </w:rPr>
        <w:t xml:space="preserve">The present limitation. </w:t>
      </w:r>
      <w:r>
        <w:t xml:space="preserve">The existing model performs its segmentation after being given the pancreas location. Under that provided-region condition, it detected tumors in 96% of positive patients on the held-out test set, but correctly left only 17% of healthy patients unflagged. In other words, it finds many tumors but also produces too many false alarms. Its current lesion-overlap score is 0.474, but that result is not directly comparable with autonomous published systems because something else supplied the region first.</w:t>
      </w:r>
    </w:p>
    <w:p>
      <w:pPr>
        <w:pStyle w:val="BodyText"/>
      </w:pPr>
      <w:r>
        <w:rPr>
          <w:b/>
          <w:bCs/>
          <w:color w:val="153A5B"/>
        </w:rPr>
        <w:t xml:space="preserve">The capstone need. </w:t>
      </w:r>
      <w:r>
        <w:t xml:space="preserve">The project must remove the provided-region assumption, measure the accuracy lost when localization becomes automatic, and investigate whether model experimentation can improve the balance between detected tumors and false alarms. The provided-region system will remain a reference point, while the autonomous system will be evaluated as the deployable workflow.</w:t>
      </w:r>
    </w:p>
    <w:p>
      <w:pPr>
        <w:pStyle w:val="BodyText"/>
      </w:pPr>
      <w:r>
        <w:rPr>
          <w:b/>
          <w:bCs/>
          <w:color w:val="153A5B"/>
        </w:rPr>
        <w:t xml:space="preserve">Professional value. </w:t>
      </w:r>
      <w:r>
        <w:t xml:space="preserve">The deliverable is not just a trained model. It is a reproducible system with known data history, controlled evaluation, recorded reviewer decisions, documented risks, and a usable interface. A difficult experiment is allowed to produce a null result; the system, evaluation process, and honest account of its limitations are not optional.</w:t>
      </w:r>
    </w:p>
    <w:p>
      <w:pPr>
        <w:pStyle w:val="Heading1"/>
        <w:pageBreakBefore/>
      </w:pPr>
      <w:r>
        <w:t xml:space="preserve">3. Existing Foundation and New Capstone Work</w:t>
      </w:r>
    </w:p>
    <w:p>
      <w:pPr>
        <w:pStyle w:val="BodyText"/>
      </w:pPr>
      <w:r>
        <w:t xml:space="preserve">The preceding five-week project produced working machinery. The capstone uses that foundation so the ten-week term can focus on the parts that have not yet been solved.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shd w:fill="153A5B" w:color="auto" w:val="clear"/>
            <w:tcMar>
              <w:top w:type="dxa" w:w="100"/>
              <w:left w:type="dxa" w:w="120"/>
              <w:bottom w:type="dxa" w:w="100"/>
              <w:right w:type="dxa" w:w="120"/>
            </w:tcMar>
            <w:vAlign w:val="center"/>
          </w:tcPr>
          <w:p>
            <w:pPr>
              <w:pStyle w:val="TableHeader"/>
            </w:pPr>
            <w:r>
              <w:rPr>
                <w:b/>
                <w:bCs/>
                <w:color w:val="FFFFFF"/>
              </w:rPr>
              <w:t xml:space="preserve">Existing foundation</w:t>
            </w:r>
          </w:p>
        </w:tc>
        <w:tc>
          <w:tcPr>
            <w:tcW w:type="dxa" w:w="5040"/>
            <w:shd w:fill="153A5B" w:color="auto" w:val="clear"/>
            <w:tcMar>
              <w:top w:type="dxa" w:w="100"/>
              <w:left w:type="dxa" w:w="120"/>
              <w:bottom w:type="dxa" w:w="100"/>
              <w:right w:type="dxa" w:w="120"/>
            </w:tcMar>
            <w:vAlign w:val="center"/>
          </w:tcPr>
          <w:p>
            <w:pPr>
              <w:pStyle w:val="TableHeader"/>
            </w:pPr>
            <w:r>
              <w:rPr>
                <w:b/>
                <w:bCs/>
                <w:color w:val="FFFFFF"/>
              </w:rPr>
              <w:t xml:space="preserve">New capstone work</w:t>
            </w:r>
          </w:p>
        </w:tc>
      </w:tr>
      <w:tr>
        <w:trPr>
          <w:cantSplit/>
          <w:tblHeader w:val="false"/>
        </w:trPr>
        <w:tc>
          <w:tcPr>
            <w:tcW w:type="dxa" w:w="5040"/>
            <w:tcMar>
              <w:top w:type="dxa" w:w="100"/>
              <w:left w:type="dxa" w:w="120"/>
              <w:bottom w:type="dxa" w:w="100"/>
              <w:right w:type="dxa" w:w="120"/>
            </w:tcMar>
            <w:vAlign w:val="center"/>
          </w:tcPr>
          <w:p>
            <w:pPr>
              <w:pStyle w:val="TableText"/>
            </w:pPr>
            <w:r>
              <w:t xml:space="preserve">A working 3D pancreas and lesion segmentation model</w:t>
            </w:r>
          </w:p>
        </w:tc>
        <w:tc>
          <w:tcPr>
            <w:tcW w:type="dxa" w:w="5040"/>
            <w:tcMar>
              <w:top w:type="dxa" w:w="100"/>
              <w:left w:type="dxa" w:w="120"/>
              <w:bottom w:type="dxa" w:w="100"/>
              <w:right w:type="dxa" w:w="120"/>
            </w:tcMar>
            <w:vAlign w:val="center"/>
          </w:tcPr>
          <w:p>
            <w:pPr>
              <w:pStyle w:val="TableText"/>
            </w:pPr>
            <w:r>
              <w:t xml:space="preserve">An autonomous path that locates the pancreas before segmentation</w:t>
            </w:r>
          </w:p>
        </w:tc>
      </w:tr>
      <w:tr>
        <w:trPr>
          <w:cantSplit/>
          <w:tblHeader w:val="false"/>
        </w:trPr>
        <w:tc>
          <w:tcPr>
            <w:tcW w:type="dxa" w:w="5040"/>
            <w:shd w:fill="F4F6F8" w:color="auto" w:val="clear"/>
            <w:tcMar>
              <w:top w:type="dxa" w:w="100"/>
              <w:left w:type="dxa" w:w="120"/>
              <w:bottom w:type="dxa" w:w="100"/>
              <w:right w:type="dxa" w:w="120"/>
            </w:tcMar>
            <w:vAlign w:val="center"/>
          </w:tcPr>
          <w:p>
            <w:pPr>
              <w:pStyle w:val="TableText"/>
            </w:pPr>
            <w:r>
              <w:t xml:space="preserve">Training, evaluation, and experiment-tracking code</w:t>
            </w:r>
          </w:p>
        </w:tc>
        <w:tc>
          <w:tcPr>
            <w:tcW w:type="dxa" w:w="5040"/>
            <w:shd w:fill="F4F6F8" w:color="auto" w:val="clear"/>
            <w:tcMar>
              <w:top w:type="dxa" w:w="100"/>
              <w:left w:type="dxa" w:w="120"/>
              <w:bottom w:type="dxa" w:w="100"/>
              <w:right w:type="dxa" w:w="120"/>
            </w:tcMar>
            <w:vAlign w:val="center"/>
          </w:tcPr>
          <w:p>
            <w:pPr>
              <w:pStyle w:val="TableText"/>
            </w:pPr>
            <w:r>
              <w:t xml:space="preserve">A structured model-experimentation phase guided by baseline errors</w:t>
            </w:r>
          </w:p>
        </w:tc>
      </w:tr>
      <w:tr>
        <w:trPr>
          <w:cantSplit/>
          <w:tblHeader w:val="false"/>
        </w:trPr>
        <w:tc>
          <w:tcPr>
            <w:tcW w:type="dxa" w:w="5040"/>
            <w:tcMar>
              <w:top w:type="dxa" w:w="100"/>
              <w:left w:type="dxa" w:w="120"/>
              <w:bottom w:type="dxa" w:w="100"/>
              <w:right w:type="dxa" w:w="120"/>
            </w:tcMar>
            <w:vAlign w:val="center"/>
          </w:tcPr>
          <w:p>
            <w:pPr>
              <w:pStyle w:val="TableText"/>
            </w:pPr>
            <w:r>
              <w:t xml:space="preserve">A single-source, file-based data pipeline</w:t>
            </w:r>
          </w:p>
        </w:tc>
        <w:tc>
          <w:tcPr>
            <w:tcW w:type="dxa" w:w="5040"/>
            <w:tcMar>
              <w:top w:type="dxa" w:w="100"/>
              <w:left w:type="dxa" w:w="120"/>
              <w:bottom w:type="dxa" w:w="100"/>
              <w:right w:type="dxa" w:w="120"/>
            </w:tcMar>
            <w:vAlign w:val="center"/>
          </w:tcPr>
          <w:p>
            <w:pPr>
              <w:pStyle w:val="TableText"/>
            </w:pPr>
            <w:r>
              <w:t xml:space="preserve">A validated data layer integrating multiple sources and recording where each label came from</w:t>
            </w:r>
          </w:p>
        </w:tc>
      </w:tr>
      <w:tr>
        <w:trPr>
          <w:cantSplit/>
          <w:tblHeader w:val="false"/>
        </w:trPr>
        <w:tc>
          <w:tcPr>
            <w:tcW w:type="dxa" w:w="5040"/>
            <w:shd w:fill="F4F6F8" w:color="auto" w:val="clear"/>
            <w:tcMar>
              <w:top w:type="dxa" w:w="100"/>
              <w:left w:type="dxa" w:w="120"/>
              <w:bottom w:type="dxa" w:w="100"/>
              <w:right w:type="dxa" w:w="120"/>
            </w:tcMar>
            <w:vAlign w:val="center"/>
          </w:tcPr>
          <w:p>
            <w:pPr>
              <w:pStyle w:val="TableText"/>
            </w:pPr>
            <w:r>
              <w:t xml:space="preserve">An inference service and medical-image review interface</w:t>
            </w:r>
          </w:p>
        </w:tc>
        <w:tc>
          <w:tcPr>
            <w:tcW w:type="dxa" w:w="5040"/>
            <w:shd w:fill="F4F6F8" w:color="auto" w:val="clear"/>
            <w:tcMar>
              <w:top w:type="dxa" w:w="100"/>
              <w:left w:type="dxa" w:w="120"/>
              <w:bottom w:type="dxa" w:w="100"/>
              <w:right w:type="dxa" w:w="120"/>
            </w:tcMar>
            <w:vAlign w:val="center"/>
          </w:tcPr>
          <w:p>
            <w:pPr>
              <w:pStyle w:val="TableText"/>
            </w:pPr>
            <w:r>
              <w:t xml:space="preserve">A connected workflow with measurements, worklist ordering, and stored reviewer decisions</w:t>
            </w:r>
          </w:p>
        </w:tc>
      </w:tr>
      <w:tr>
        <w:trPr>
          <w:cantSplit/>
          <w:tblHeader w:val="false"/>
        </w:trPr>
        <w:tc>
          <w:tcPr>
            <w:tcW w:type="dxa" w:w="5040"/>
            <w:tcMar>
              <w:top w:type="dxa" w:w="100"/>
              <w:left w:type="dxa" w:w="120"/>
              <w:bottom w:type="dxa" w:w="100"/>
              <w:right w:type="dxa" w:w="120"/>
            </w:tcMar>
            <w:vAlign w:val="center"/>
          </w:tcPr>
          <w:p>
            <w:pPr>
              <w:pStyle w:val="TableText"/>
            </w:pPr>
            <w:r>
              <w:t xml:space="preserve">An initial localization-and-segmentation prototype</w:t>
            </w:r>
          </w:p>
        </w:tc>
        <w:tc>
          <w:tcPr>
            <w:tcW w:type="dxa" w:w="5040"/>
            <w:tcMar>
              <w:top w:type="dxa" w:w="100"/>
              <w:left w:type="dxa" w:w="120"/>
              <w:bottom w:type="dxa" w:w="100"/>
              <w:right w:type="dxa" w:w="120"/>
            </w:tcMar>
            <w:vAlign w:val="center"/>
          </w:tcPr>
          <w:p>
            <w:pPr>
              <w:pStyle w:val="TableText"/>
            </w:pPr>
            <w:r>
              <w:t xml:space="preserve">Held-out evaluation of the complete autonomous system and its failure modes</w:t>
            </w:r>
          </w:p>
        </w:tc>
      </w:tr>
      <w:tr>
        <w:trPr>
          <w:cantSplit/>
          <w:tblHeader w:val="false"/>
        </w:trPr>
        <w:tc>
          <w:tcPr>
            <w:tcW w:type="dxa" w:w="5040"/>
            <w:shd w:fill="F4F6F8" w:color="auto" w:val="clear"/>
            <w:tcMar>
              <w:top w:type="dxa" w:w="100"/>
              <w:left w:type="dxa" w:w="120"/>
              <w:bottom w:type="dxa" w:w="100"/>
              <w:right w:type="dxa" w:w="120"/>
            </w:tcMar>
            <w:vAlign w:val="center"/>
          </w:tcPr>
          <w:p>
            <w:pPr>
              <w:pStyle w:val="TableText"/>
            </w:pPr>
            <w:r>
              <w:t xml:space="preserve">Technical documentation and reproducible model checkpoints</w:t>
            </w:r>
          </w:p>
        </w:tc>
        <w:tc>
          <w:tcPr>
            <w:tcW w:type="dxa" w:w="5040"/>
            <w:shd w:fill="F4F6F8" w:color="auto" w:val="clear"/>
            <w:tcMar>
              <w:top w:type="dxa" w:w="100"/>
              <w:left w:type="dxa" w:w="120"/>
              <w:bottom w:type="dxa" w:w="100"/>
              <w:right w:type="dxa" w:w="120"/>
            </w:tcMar>
            <w:vAlign w:val="center"/>
          </w:tcPr>
          <w:p>
            <w:pPr>
              <w:pStyle w:val="TableText"/>
            </w:pPr>
            <w:r>
              <w:t xml:space="preserve">Stakeholder feedback, expanded testing, risk documentation, and delivery materials</w:t>
            </w:r>
          </w:p>
        </w:tc>
      </w:tr>
    </w:tbl>
    <w:p>
      <w:pPr>
        <w:pStyle w:val="Heading2"/>
      </w:pPr>
      <w:r>
        <w:t xml:space="preserve">Multi-source integration in plain language</w:t>
      </w:r>
    </w:p>
    <w:p>
      <w:pPr>
        <w:pStyle w:val="BodyText"/>
      </w:pPr>
      <w:r>
        <w:t xml:space="preserve">The imaging sources use compatible medical-image file formats, but combining them is not simply a matter of placing their files in one folder. Their labels mean different things, some outlines were created by experts while others were produced automatically, patient and study identifiers follow different rules, and the sources do not define a negative case in exactly the same way. Some scans may also appear in more than one source.</w:t>
      </w:r>
    </w:p>
    <w:p>
      <w:pPr>
        <w:pStyle w:val="BodyText"/>
      </w:pPr>
      <w:r>
        <w:t xml:space="preserve">Before any combined data is used, the project will match records across sources, remove known overlap, test for undeclared duplicates, record where every annotation came from, and keep every patient entirely within training or evaluation. This prevents data leakage—the mistake of allowing information from an evaluation patient to influence training, which can make model performance appear better than it really is. Detailed counts, label mappings, and validation rules belong in the technical appendix rather than the proposal.</w:t>
      </w:r>
    </w:p>
    <w:p>
      <w:pPr>
        <w:pStyle w:val="Heading1"/>
      </w:pPr>
      <w:r>
        <w:t xml:space="preserve">4. Model Experimentation</w:t>
      </w:r>
    </w:p>
    <w:p>
      <w:pPr>
        <w:pStyle w:val="BodyText"/>
      </w:pPr>
      <w:r>
        <w:t xml:space="preserve">The proposal commits to model experimentation, but it does not assume in advance which modeling strategy will be most useful. The autonomous baseline and its error analysis will determine the first experimental question. This keeps the project responsive to evidence instead of requiring a technique that may not address the measured failure mode.</w:t>
      </w:r>
    </w:p>
    <w:p>
      <w:pPr>
        <w:pStyle w:val="BodyText"/>
      </w:pPr>
      <w:r>
        <w:t xml:space="preserve">Each experiment will begin with a written hypothesis, a fixed comparison, and a definition of what evidence would justify adopting the result. Training and evaluation data, preprocessing, and metrics will remain fixed unless one of those is the variable being studied. Major strategies will be evaluated separately so that any improvement or failure can be interpreted without several changes being mixed together.</w:t>
      </w:r>
    </w:p>
    <w:p>
      <w:pPr>
        <w:pStyle w:val="BodyText"/>
      </w:pPr>
      <w:r>
        <w:t xml:space="preserve">Results will include pancreas and lesion overlap accuracy, patient-level tumor detection, and specificity—the percentage of healthy patients correctly left unflagged. The project will also compare the provided-region and autonomous paths, examine important failure groups, and report uncertainty where the data support it. Model selection will be based on the full pattern of results rather than one favorable number.</w:t>
      </w:r>
    </w:p>
    <w:p>
      <w:pPr>
        <w:pStyle w:val="Callout"/>
      </w:pPr>
      <w:r>
        <w:rPr>
          <w:b/>
          <w:bCs/>
          <w:color w:val="147D73"/>
        </w:rPr>
        <w:t xml:space="preserve">What is promised. </w:t>
      </w:r>
      <w:r>
        <w:t xml:space="preserve">A fixed baseline, controlled comparisons, patient-level evaluation, and a documented decision. No particular modeling technique is promised to succeed.</w:t>
      </w:r>
    </w:p>
    <w:p>
      <w:pPr>
        <w:pStyle w:val="Heading1"/>
      </w:pPr>
      <w:r>
        <w:t xml:space="preserve">5. Technical Approach and Applied AI Skills</w:t>
      </w:r>
    </w:p>
    <w:p>
      <w:pPr>
        <w:pStyle w:val="BodyText"/>
        <w:numPr>
          <w:ilvl w:val="0"/>
          <w:numId w:val="2"/>
        </w:numPr>
      </w:pPr>
      <w:r>
        <w:rPr>
          <w:b/>
          <w:bCs/>
          <w:color w:val="153A5B"/>
        </w:rPr>
        <w:t xml:space="preserve">Medical-image machine learning — Python, PyTorch, and MONAI. </w:t>
      </w:r>
      <w:r>
        <w:t xml:space="preserve">Demonstrates 3D localization, segmentation, transfer learning, full-volume inference, and patient-level evaluation. </w:t>
      </w:r>
      <w:r>
        <w:rPr>
          <w:b/>
          <w:bCs/>
        </w:rPr>
        <w:t xml:space="preserve">Experience: </w:t>
      </w:r>
      <w:r>
        <w:t xml:space="preserve">Strong with the existing segmentation pipeline. </w:t>
      </w:r>
      <w:r>
        <w:rPr>
          <w:b/>
          <w:bCs/>
        </w:rPr>
        <w:t xml:space="preserve">Growth plan: </w:t>
      </w:r>
      <w:r>
        <w:t xml:space="preserve">Deepen autonomous localization, error analysis, and evidence-based model selection.</w:t>
      </w:r>
    </w:p>
    <w:p>
      <w:pPr>
        <w:pStyle w:val="BodyText"/>
        <w:numPr>
          <w:ilvl w:val="0"/>
          <w:numId w:val="2"/>
        </w:numPr>
      </w:pPr>
      <w:r>
        <w:rPr>
          <w:b/>
          <w:bCs/>
          <w:color w:val="153A5B"/>
        </w:rPr>
        <w:t xml:space="preserve">Data integration and quality. </w:t>
      </w:r>
      <w:r>
        <w:t xml:space="preserve">Demonstrates matching records across sources, reconciling label meaning, tracking annotation origin, detecting duplicates, and protecting evaluation data. </w:t>
      </w:r>
      <w:r>
        <w:rPr>
          <w:b/>
          <w:bCs/>
        </w:rPr>
        <w:t xml:space="preserve">Experience: </w:t>
      </w:r>
      <w:r>
        <w:t xml:space="preserve">Familiar with reproducible data pipelines; new to integrating clinical imaging sources at this scale. </w:t>
      </w:r>
      <w:r>
        <w:rPr>
          <w:b/>
          <w:bCs/>
        </w:rPr>
        <w:t xml:space="preserve">Growth plan: </w:t>
      </w:r>
      <w:r>
        <w:t xml:space="preserve">Design validation rules first, test them on real files, and keep detailed reconciliation evidence in the appendix.</w:t>
      </w:r>
    </w:p>
    <w:p>
      <w:pPr>
        <w:pStyle w:val="BodyText"/>
        <w:numPr>
          <w:ilvl w:val="0"/>
          <w:numId w:val="2"/>
        </w:numPr>
      </w:pPr>
      <w:r>
        <w:rPr>
          <w:b/>
          <w:bCs/>
          <w:color w:val="153A5B"/>
        </w:rPr>
        <w:t xml:space="preserve">Relational and vector data storage. </w:t>
      </w:r>
      <w:r>
        <w:t xml:space="preserve">Demonstrates structured storage for scans, findings, model versions, reviewer decisions, and searchable literature. </w:t>
      </w:r>
      <w:r>
        <w:rPr>
          <w:b/>
          <w:bCs/>
        </w:rPr>
        <w:t xml:space="preserve">Experience: </w:t>
      </w:r>
      <w:r>
        <w:t xml:space="preserve">Solid with relational databases; less experience with vector search inside the same data layer. </w:t>
      </w:r>
      <w:r>
        <w:rPr>
          <w:b/>
          <w:bCs/>
        </w:rPr>
        <w:t xml:space="preserve">Growth plan: </w:t>
      </w:r>
      <w:r>
        <w:t xml:space="preserve">Create the data model before implementation, review it as a diagram, and validate the retrieval design against representative questions.</w:t>
      </w:r>
    </w:p>
    <w:p>
      <w:pPr>
        <w:pStyle w:val="BodyText"/>
        <w:numPr>
          <w:ilvl w:val="0"/>
          <w:numId w:val="2"/>
        </w:numPr>
      </w:pPr>
      <w:r>
        <w:rPr>
          <w:b/>
          <w:bCs/>
          <w:color w:val="153A5B"/>
        </w:rPr>
        <w:t xml:space="preserve">Evidence-grounded applied AI. </w:t>
      </w:r>
      <w:r>
        <w:t xml:space="preserve">Demonstrates retrieval of relevant literature, visible source support, and refusal when the retrieved material is insufficient. </w:t>
      </w:r>
      <w:r>
        <w:rPr>
          <w:b/>
          <w:bCs/>
        </w:rPr>
        <w:t xml:space="preserve">Experience: </w:t>
      </w:r>
      <w:r>
        <w:t xml:space="preserve">Familiar with retrieval and language-model workflows. </w:t>
      </w:r>
      <w:r>
        <w:rPr>
          <w:b/>
          <w:bCs/>
        </w:rPr>
        <w:t xml:space="preserve">Growth plan: </w:t>
      </w:r>
      <w:r>
        <w:t xml:space="preserve">Focus new learning on measured retrieval quality, grounded responses, and safe system boundaries rather than chatbot novelty.</w:t>
      </w:r>
    </w:p>
    <w:p>
      <w:pPr>
        <w:pStyle w:val="BodyText"/>
        <w:numPr>
          <w:ilvl w:val="0"/>
          <w:numId w:val="2"/>
        </w:numPr>
      </w:pPr>
      <w:r>
        <w:rPr>
          <w:b/>
          <w:bCs/>
          <w:color w:val="153A5B"/>
        </w:rPr>
        <w:t xml:space="preserve">Application integration — FastAPI, React, and NiiVue. </w:t>
      </w:r>
      <w:r>
        <w:t xml:space="preserve">Demonstrates a service that connects scan processing to a medical-image viewer, worklist, measurements, and saved review decisions. </w:t>
      </w:r>
      <w:r>
        <w:rPr>
          <w:b/>
          <w:bCs/>
        </w:rPr>
        <w:t xml:space="preserve">Experience: </w:t>
      </w:r>
      <w:r>
        <w:t xml:space="preserve">Strong with FastAPI and React; introductory experience with NiiVue. </w:t>
      </w:r>
      <w:r>
        <w:rPr>
          <w:b/>
          <w:bCs/>
        </w:rPr>
        <w:t xml:space="preserve">Growth plan: </w:t>
      </w:r>
      <w:r>
        <w:t xml:space="preserve">Extend the existing interface through documentation and direct stakeholder feedback.</w:t>
      </w:r>
    </w:p>
    <w:p>
      <w:pPr>
        <w:pStyle w:val="BodyText"/>
        <w:numPr>
          <w:ilvl w:val="0"/>
          <w:numId w:val="2"/>
        </w:numPr>
      </w:pPr>
      <w:r>
        <w:rPr>
          <w:b/>
          <w:bCs/>
          <w:color w:val="153A5B"/>
        </w:rPr>
        <w:t xml:space="preserve">MLOps and scalable compute — MLflow, Docker, and local or rented GPU resources. </w:t>
      </w:r>
      <w:r>
        <w:t xml:space="preserve">Demonstrates versioned experiments, reproducible environments, registered models, and a path beyond one local training run per night. </w:t>
      </w:r>
      <w:r>
        <w:rPr>
          <w:b/>
          <w:bCs/>
        </w:rPr>
        <w:t xml:space="preserve">Experience: </w:t>
      </w:r>
      <w:r>
        <w:t xml:space="preserve">Strong with experiment tracking and containers; less experience budgeting rented GPU training. </w:t>
      </w:r>
      <w:r>
        <w:rPr>
          <w:b/>
          <w:bCs/>
        </w:rPr>
        <w:t xml:space="preserve">Growth plan: </w:t>
      </w:r>
      <w:r>
        <w:t xml:space="preserve">Benchmark local and rented hardware first, set a spending ceiling before rental use, record cost per experiment, and stop cloud use if the throughput benefit does not justify the expense.</w:t>
      </w:r>
    </w:p>
    <w:p>
      <w:pPr>
        <w:pStyle w:val="BodyText"/>
        <w:numPr>
          <w:ilvl w:val="0"/>
          <w:numId w:val="2"/>
        </w:numPr>
      </w:pPr>
      <w:r>
        <w:rPr>
          <w:b/>
          <w:bCs/>
          <w:color w:val="153A5B"/>
        </w:rPr>
        <w:t xml:space="preserve">Experimental methodology and governance. </w:t>
      </w:r>
      <w:r>
        <w:t xml:space="preserve">Demonstrates controlled comparisons, error analysis, reproducibility, limitation reporting, and human review of every proposed contour. </w:t>
      </w:r>
      <w:r>
        <w:rPr>
          <w:b/>
          <w:bCs/>
        </w:rPr>
        <w:t xml:space="preserve">Experience: </w:t>
      </w:r>
      <w:r>
        <w:t xml:space="preserve">Strong after applying these practices in the preceding project. </w:t>
      </w:r>
      <w:r>
        <w:rPr>
          <w:b/>
          <w:bCs/>
        </w:rPr>
        <w:t xml:space="preserve">Growth plan: </w:t>
      </w:r>
      <w:r>
        <w:t xml:space="preserve">Apply the same discipline across model, retrieval, and system evaluation, with no diagnostic claims.</w:t>
      </w:r>
    </w:p>
    <w:p>
      <w:pPr>
        <w:pStyle w:val="Heading1"/>
      </w:pPr>
      <w:r>
        <w:t xml:space="preserve">6. Ten-Week Delivery Plan</w:t>
      </w:r>
    </w:p>
    <w:p>
      <w:pPr>
        <w:pStyle w:val="BodyText"/>
      </w:pPr>
      <w:r>
        <w:t xml:space="preserve">The schedule commits to measurable outcomes while leaving implementation choices open until the evidence needed to make them is available.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0"/>
        <w:gridCol w:w="1510"/>
        <w:gridCol w:w="3300"/>
        <w:gridCol w:w="3000"/>
        <w:gridCol w:w="1750"/>
      </w:tblGrid>
      <w:tr>
        <w:trPr>
          <w:cantSplit/>
          <w:tblHeader/>
        </w:trPr>
        <w:tc>
          <w:tcPr>
            <w:tcW w:type="dxa" w:w="520"/>
            <w:shd w:fill="153A5B" w:color="auto" w:val="clear"/>
            <w:tcMar>
              <w:top w:type="dxa" w:w="100"/>
              <w:left w:type="dxa" w:w="120"/>
              <w:bottom w:type="dxa" w:w="100"/>
              <w:right w:type="dxa" w:w="120"/>
            </w:tcMar>
            <w:vAlign w:val="center"/>
          </w:tcPr>
          <w:p>
            <w:pPr>
              <w:pStyle w:val="TableHeader"/>
            </w:pPr>
            <w:r>
              <w:rPr>
                <w:b/>
                <w:bCs/>
                <w:color w:val="FFFFFF"/>
              </w:rPr>
              <w:t xml:space="preserve">Wk</w:t>
            </w:r>
          </w:p>
        </w:tc>
        <w:tc>
          <w:tcPr>
            <w:tcW w:type="dxa" w:w="1510"/>
            <w:shd w:fill="153A5B" w:color="auto" w:val="clear"/>
            <w:tcMar>
              <w:top w:type="dxa" w:w="100"/>
              <w:left w:type="dxa" w:w="120"/>
              <w:bottom w:type="dxa" w:w="100"/>
              <w:right w:type="dxa" w:w="120"/>
            </w:tcMar>
            <w:vAlign w:val="center"/>
          </w:tcPr>
          <w:p>
            <w:pPr>
              <w:pStyle w:val="TableHeader"/>
            </w:pPr>
            <w:r>
              <w:rPr>
                <w:b/>
                <w:bCs/>
                <w:color w:val="FFFFFF"/>
              </w:rPr>
              <w:t xml:space="preserve">Primary focus</w:t>
            </w:r>
          </w:p>
        </w:tc>
        <w:tc>
          <w:tcPr>
            <w:tcW w:type="dxa" w:w="3300"/>
            <w:shd w:fill="153A5B" w:color="auto" w:val="clear"/>
            <w:tcMar>
              <w:top w:type="dxa" w:w="100"/>
              <w:left w:type="dxa" w:w="120"/>
              <w:bottom w:type="dxa" w:w="100"/>
              <w:right w:type="dxa" w:w="120"/>
            </w:tcMar>
            <w:vAlign w:val="center"/>
          </w:tcPr>
          <w:p>
            <w:pPr>
              <w:pStyle w:val="TableHeader"/>
            </w:pPr>
            <w:r>
              <w:rPr>
                <w:b/>
                <w:bCs/>
                <w:color w:val="FFFFFF"/>
              </w:rPr>
              <w:t xml:space="preserve">Planned work</w:t>
            </w:r>
          </w:p>
        </w:tc>
        <w:tc>
          <w:tcPr>
            <w:tcW w:type="dxa" w:w="3000"/>
            <w:shd w:fill="153A5B" w:color="auto" w:val="clear"/>
            <w:tcMar>
              <w:top w:type="dxa" w:w="100"/>
              <w:left w:type="dxa" w:w="120"/>
              <w:bottom w:type="dxa" w:w="100"/>
              <w:right w:type="dxa" w:w="120"/>
            </w:tcMar>
            <w:vAlign w:val="center"/>
          </w:tcPr>
          <w:p>
            <w:pPr>
              <w:pStyle w:val="TableHeader"/>
            </w:pPr>
            <w:r>
              <w:rPr>
                <w:b/>
                <w:bCs/>
                <w:color w:val="FFFFFF"/>
              </w:rPr>
              <w:t xml:space="preserve">Measurable deliverable</w:t>
            </w:r>
          </w:p>
        </w:tc>
        <w:tc>
          <w:tcPr>
            <w:tcW w:type="dxa" w:w="1750"/>
            <w:shd w:fill="153A5B" w:color="auto" w:val="clear"/>
            <w:tcMar>
              <w:top w:type="dxa" w:w="100"/>
              <w:left w:type="dxa" w:w="120"/>
              <w:bottom w:type="dxa" w:w="100"/>
              <w:right w:type="dxa" w:w="120"/>
            </w:tcMar>
            <w:vAlign w:val="center"/>
          </w:tcPr>
          <w:p>
            <w:pPr>
              <w:pStyle w:val="TableHeader"/>
            </w:pPr>
            <w:r>
              <w:rPr>
                <w:b/>
                <w:bCs/>
                <w:color w:val="FFFFFF"/>
              </w:rPr>
              <w:t xml:space="preserve">Behind-schedule signal</w:t>
            </w:r>
          </w:p>
        </w:tc>
      </w:tr>
      <w:tr>
        <w:trPr>
          <w:cantSplit/>
          <w:tblHeader w:val="false"/>
        </w:trPr>
        <w:tc>
          <w:tcPr>
            <w:tcW w:type="dxa" w:w="520"/>
            <w:tcMar>
              <w:top w:type="dxa" w:w="100"/>
              <w:left w:type="dxa" w:w="120"/>
              <w:bottom w:type="dxa" w:w="100"/>
              <w:right w:type="dxa" w:w="120"/>
            </w:tcMar>
            <w:vAlign w:val="center"/>
          </w:tcPr>
          <w:p>
            <w:pPr>
              <w:pStyle w:val="TableText"/>
            </w:pPr>
            <w:r>
              <w:t xml:space="preserve">1</w:t>
            </w:r>
          </w:p>
        </w:tc>
        <w:tc>
          <w:tcPr>
            <w:tcW w:type="dxa" w:w="1510"/>
            <w:tcMar>
              <w:top w:type="dxa" w:w="100"/>
              <w:left w:type="dxa" w:w="120"/>
              <w:bottom w:type="dxa" w:w="100"/>
              <w:right w:type="dxa" w:w="120"/>
            </w:tcMar>
            <w:vAlign w:val="center"/>
          </w:tcPr>
          <w:p>
            <w:pPr>
              <w:pStyle w:val="TableText"/>
            </w:pPr>
            <w:r>
              <w:t xml:space="preserve">Data design</w:t>
            </w:r>
          </w:p>
        </w:tc>
        <w:tc>
          <w:tcPr>
            <w:tcW w:type="dxa" w:w="3300"/>
            <w:tcMar>
              <w:top w:type="dxa" w:w="100"/>
              <w:left w:type="dxa" w:w="120"/>
              <w:bottom w:type="dxa" w:w="100"/>
              <w:right w:type="dxa" w:w="120"/>
            </w:tcMar>
            <w:vAlign w:val="center"/>
          </w:tcPr>
          <w:p>
            <w:pPr>
              <w:pStyle w:val="TableText"/>
            </w:pPr>
            <w:r>
              <w:t xml:space="preserve">Confirm the data model, storage plan, validation rules, and compute approach before implementation.</w:t>
            </w:r>
          </w:p>
        </w:tc>
        <w:tc>
          <w:tcPr>
            <w:tcW w:type="dxa" w:w="3000"/>
            <w:tcMar>
              <w:top w:type="dxa" w:w="100"/>
              <w:left w:type="dxa" w:w="120"/>
              <w:bottom w:type="dxa" w:w="100"/>
              <w:right w:type="dxa" w:w="120"/>
            </w:tcMar>
            <w:vAlign w:val="center"/>
          </w:tcPr>
          <w:p>
            <w:pPr>
              <w:pStyle w:val="TableText"/>
            </w:pPr>
            <w:r>
              <w:t xml:space="preserve">Approved data design and validation checklist.</w:t>
            </w:r>
          </w:p>
        </w:tc>
        <w:tc>
          <w:tcPr>
            <w:tcW w:type="dxa" w:w="1750"/>
            <w:tcMar>
              <w:top w:type="dxa" w:w="100"/>
              <w:left w:type="dxa" w:w="120"/>
              <w:bottom w:type="dxa" w:w="100"/>
              <w:right w:type="dxa" w:w="120"/>
            </w:tcMar>
            <w:vAlign w:val="center"/>
          </w:tcPr>
          <w:p>
            <w:pPr>
              <w:pStyle w:val="TableText"/>
            </w:pPr>
            <w:r>
              <w:t xml:space="preserve">Core data rules or storage decisions remain unresolved.</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2</w:t>
            </w:r>
          </w:p>
        </w:tc>
        <w:tc>
          <w:tcPr>
            <w:tcW w:type="dxa" w:w="1510"/>
            <w:shd w:fill="F4F6F8" w:color="auto" w:val="clear"/>
            <w:tcMar>
              <w:top w:type="dxa" w:w="100"/>
              <w:left w:type="dxa" w:w="120"/>
              <w:bottom w:type="dxa" w:w="100"/>
              <w:right w:type="dxa" w:w="120"/>
            </w:tcMar>
            <w:vAlign w:val="center"/>
          </w:tcPr>
          <w:p>
            <w:pPr>
              <w:pStyle w:val="TableText"/>
            </w:pPr>
            <w:r>
              <w:t xml:space="preserve">Protected data splits</w:t>
            </w:r>
          </w:p>
        </w:tc>
        <w:tc>
          <w:tcPr>
            <w:tcW w:type="dxa" w:w="3300"/>
            <w:shd w:fill="F4F6F8" w:color="auto" w:val="clear"/>
            <w:tcMar>
              <w:top w:type="dxa" w:w="100"/>
              <w:left w:type="dxa" w:w="120"/>
              <w:bottom w:type="dxa" w:w="100"/>
              <w:right w:type="dxa" w:w="120"/>
            </w:tcMar>
            <w:vAlign w:val="center"/>
          </w:tcPr>
          <w:p>
            <w:pPr>
              <w:pStyle w:val="TableText"/>
            </w:pPr>
            <w:r>
              <w:t xml:space="preserve">Move training, validation, and test membership into a controlled data layer. Ensure that every patient appears in only one group.</w:t>
            </w:r>
          </w:p>
        </w:tc>
        <w:tc>
          <w:tcPr>
            <w:tcW w:type="dxa" w:w="3000"/>
            <w:shd w:fill="F4F6F8" w:color="auto" w:val="clear"/>
            <w:tcMar>
              <w:top w:type="dxa" w:w="100"/>
              <w:left w:type="dxa" w:w="120"/>
              <w:bottom w:type="dxa" w:w="100"/>
              <w:right w:type="dxa" w:w="120"/>
            </w:tcMar>
            <w:vAlign w:val="center"/>
          </w:tcPr>
          <w:p>
            <w:pPr>
              <w:pStyle w:val="TableText"/>
            </w:pPr>
            <w:r>
              <w:t xml:space="preserve">Existing splits reproduced and automated checks prevent patient overlap.</w:t>
            </w:r>
          </w:p>
        </w:tc>
        <w:tc>
          <w:tcPr>
            <w:tcW w:type="dxa" w:w="1750"/>
            <w:shd w:fill="F4F6F8" w:color="auto" w:val="clear"/>
            <w:tcMar>
              <w:top w:type="dxa" w:w="100"/>
              <w:left w:type="dxa" w:w="120"/>
              <w:bottom w:type="dxa" w:w="100"/>
              <w:right w:type="dxa" w:w="120"/>
            </w:tcMar>
            <w:vAlign w:val="center"/>
          </w:tcPr>
          <w:p>
            <w:pPr>
              <w:pStyle w:val="TableText"/>
            </w:pPr>
            <w:r>
              <w:t xml:space="preserve">Any patient can appear in both training and evaluation data.</w:t>
            </w:r>
          </w:p>
        </w:tc>
      </w:tr>
      <w:tr>
        <w:trPr>
          <w:cantSplit/>
          <w:tblHeader w:val="false"/>
        </w:trPr>
        <w:tc>
          <w:tcPr>
            <w:tcW w:type="dxa" w:w="520"/>
            <w:tcMar>
              <w:top w:type="dxa" w:w="100"/>
              <w:left w:type="dxa" w:w="120"/>
              <w:bottom w:type="dxa" w:w="100"/>
              <w:right w:type="dxa" w:w="120"/>
            </w:tcMar>
            <w:vAlign w:val="center"/>
          </w:tcPr>
          <w:p>
            <w:pPr>
              <w:pStyle w:val="TableText"/>
            </w:pPr>
            <w:r>
              <w:t xml:space="preserve">3</w:t>
            </w:r>
          </w:p>
        </w:tc>
        <w:tc>
          <w:tcPr>
            <w:tcW w:type="dxa" w:w="1510"/>
            <w:tcMar>
              <w:top w:type="dxa" w:w="100"/>
              <w:left w:type="dxa" w:w="120"/>
              <w:bottom w:type="dxa" w:w="100"/>
              <w:right w:type="dxa" w:w="120"/>
            </w:tcMar>
            <w:vAlign w:val="center"/>
          </w:tcPr>
          <w:p>
            <w:pPr>
              <w:pStyle w:val="TableText"/>
            </w:pPr>
            <w:r>
              <w:t xml:space="preserve">Second imaging source</w:t>
            </w:r>
          </w:p>
        </w:tc>
        <w:tc>
          <w:tcPr>
            <w:tcW w:type="dxa" w:w="3300"/>
            <w:tcMar>
              <w:top w:type="dxa" w:w="100"/>
              <w:left w:type="dxa" w:w="120"/>
              <w:bottom w:type="dxa" w:w="100"/>
              <w:right w:type="dxa" w:w="120"/>
            </w:tcMar>
            <w:vAlign w:val="center"/>
          </w:tcPr>
          <w:p>
            <w:pPr>
              <w:pStyle w:val="TableText"/>
            </w:pPr>
            <w:r>
              <w:t xml:space="preserve">Ingest the additional imaging source, reconcile labels and identifiers, and record annotation quality and origin.</w:t>
            </w:r>
          </w:p>
        </w:tc>
        <w:tc>
          <w:tcPr>
            <w:tcW w:type="dxa" w:w="3000"/>
            <w:tcMar>
              <w:top w:type="dxa" w:w="100"/>
              <w:left w:type="dxa" w:w="120"/>
              <w:bottom w:type="dxa" w:w="100"/>
              <w:right w:type="dxa" w:w="120"/>
            </w:tcMar>
            <w:vAlign w:val="center"/>
          </w:tcPr>
          <w:p>
            <w:pPr>
              <w:pStyle w:val="TableText"/>
            </w:pPr>
            <w:r>
              <w:t xml:space="preserve">Validated source integration with documented exclusions and duplicate checks.</w:t>
            </w:r>
          </w:p>
        </w:tc>
        <w:tc>
          <w:tcPr>
            <w:tcW w:type="dxa" w:w="1750"/>
            <w:tcMar>
              <w:top w:type="dxa" w:w="100"/>
              <w:left w:type="dxa" w:w="120"/>
              <w:bottom w:type="dxa" w:w="100"/>
              <w:right w:type="dxa" w:w="120"/>
            </w:tcMar>
            <w:vAlign w:val="center"/>
          </w:tcPr>
          <w:p>
            <w:pPr>
              <w:pStyle w:val="TableText"/>
            </w:pPr>
            <w:r>
              <w:t xml:space="preserve">Source differences cannot yet be explained or tested.</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4</w:t>
            </w:r>
          </w:p>
        </w:tc>
        <w:tc>
          <w:tcPr>
            <w:tcW w:type="dxa" w:w="1510"/>
            <w:shd w:fill="F4F6F8" w:color="auto" w:val="clear"/>
            <w:tcMar>
              <w:top w:type="dxa" w:w="100"/>
              <w:left w:type="dxa" w:w="120"/>
              <w:bottom w:type="dxa" w:w="100"/>
              <w:right w:type="dxa" w:w="120"/>
            </w:tcMar>
            <w:vAlign w:val="center"/>
          </w:tcPr>
          <w:p>
            <w:pPr>
              <w:pStyle w:val="TableText"/>
            </w:pPr>
            <w:r>
              <w:t xml:space="preserve">Unified training data</w:t>
            </w:r>
          </w:p>
        </w:tc>
        <w:tc>
          <w:tcPr>
            <w:tcW w:type="dxa" w:w="3300"/>
            <w:shd w:fill="F4F6F8" w:color="auto" w:val="clear"/>
            <w:tcMar>
              <w:top w:type="dxa" w:w="100"/>
              <w:left w:type="dxa" w:w="120"/>
              <w:bottom w:type="dxa" w:w="100"/>
              <w:right w:type="dxa" w:w="120"/>
            </w:tcMar>
            <w:vAlign w:val="center"/>
          </w:tcPr>
          <w:p>
            <w:pPr>
              <w:pStyle w:val="TableText"/>
            </w:pPr>
            <w:r>
              <w:t xml:space="preserve">Complete preprocessing, validation, and efficient access to the combined training data.</w:t>
            </w:r>
          </w:p>
        </w:tc>
        <w:tc>
          <w:tcPr>
            <w:tcW w:type="dxa" w:w="3000"/>
            <w:shd w:fill="F4F6F8" w:color="auto" w:val="clear"/>
            <w:tcMar>
              <w:top w:type="dxa" w:w="100"/>
              <w:left w:type="dxa" w:w="120"/>
              <w:bottom w:type="dxa" w:w="100"/>
              <w:right w:type="dxa" w:w="120"/>
            </w:tcMar>
            <w:vAlign w:val="center"/>
          </w:tcPr>
          <w:p>
            <w:pPr>
              <w:pStyle w:val="TableText"/>
            </w:pPr>
            <w:r>
              <w:t xml:space="preserve">Reproducible training input with source and label history preserved.</w:t>
            </w:r>
          </w:p>
        </w:tc>
        <w:tc>
          <w:tcPr>
            <w:tcW w:type="dxa" w:w="1750"/>
            <w:shd w:fill="F4F6F8" w:color="auto" w:val="clear"/>
            <w:tcMar>
              <w:top w:type="dxa" w:w="100"/>
              <w:left w:type="dxa" w:w="120"/>
              <w:bottom w:type="dxa" w:w="100"/>
              <w:right w:type="dxa" w:w="120"/>
            </w:tcMar>
            <w:vAlign w:val="center"/>
          </w:tcPr>
          <w:p>
            <w:pPr>
              <w:pStyle w:val="TableText"/>
            </w:pPr>
            <w:r>
              <w:t xml:space="preserve">Training data cannot be reproduced from the recorded configuration.</w:t>
            </w:r>
          </w:p>
        </w:tc>
      </w:tr>
      <w:tr>
        <w:trPr>
          <w:cantSplit/>
          <w:tblHeader w:val="false"/>
        </w:trPr>
        <w:tc>
          <w:tcPr>
            <w:tcW w:type="dxa" w:w="520"/>
            <w:tcMar>
              <w:top w:type="dxa" w:w="100"/>
              <w:left w:type="dxa" w:w="120"/>
              <w:bottom w:type="dxa" w:w="100"/>
              <w:right w:type="dxa" w:w="120"/>
            </w:tcMar>
            <w:vAlign w:val="center"/>
          </w:tcPr>
          <w:p>
            <w:pPr>
              <w:pStyle w:val="TableText"/>
            </w:pPr>
            <w:r>
              <w:t xml:space="preserve">5</w:t>
            </w:r>
          </w:p>
        </w:tc>
        <w:tc>
          <w:tcPr>
            <w:tcW w:type="dxa" w:w="1510"/>
            <w:tcMar>
              <w:top w:type="dxa" w:w="100"/>
              <w:left w:type="dxa" w:w="120"/>
              <w:bottom w:type="dxa" w:w="100"/>
              <w:right w:type="dxa" w:w="120"/>
            </w:tcMar>
            <w:vAlign w:val="center"/>
          </w:tcPr>
          <w:p>
            <w:pPr>
              <w:pStyle w:val="TableText"/>
            </w:pPr>
            <w:r>
              <w:t xml:space="preserve">Autonomous baseline</w:t>
            </w:r>
          </w:p>
        </w:tc>
        <w:tc>
          <w:tcPr>
            <w:tcW w:type="dxa" w:w="3300"/>
            <w:tcMar>
              <w:top w:type="dxa" w:w="100"/>
              <w:left w:type="dxa" w:w="120"/>
              <w:bottom w:type="dxa" w:w="100"/>
              <w:right w:type="dxa" w:w="120"/>
            </w:tcMar>
            <w:vAlign w:val="center"/>
          </w:tcPr>
          <w:p>
            <w:pPr>
              <w:pStyle w:val="TableText"/>
            </w:pPr>
            <w:r>
              <w:t xml:space="preserve">Evaluate pancreas localization and run the full localization-to-segmentation path without a provided region.</w:t>
            </w:r>
          </w:p>
        </w:tc>
        <w:tc>
          <w:tcPr>
            <w:tcW w:type="dxa" w:w="3000"/>
            <w:tcMar>
              <w:top w:type="dxa" w:w="100"/>
              <w:left w:type="dxa" w:w="120"/>
              <w:bottom w:type="dxa" w:w="100"/>
              <w:right w:type="dxa" w:w="120"/>
            </w:tcMar>
            <w:vAlign w:val="center"/>
          </w:tcPr>
          <w:p>
            <w:pPr>
              <w:pStyle w:val="TableText"/>
            </w:pPr>
            <w:r>
              <w:t xml:space="preserve">First held-out autonomous baseline and error analysis.</w:t>
            </w:r>
          </w:p>
        </w:tc>
        <w:tc>
          <w:tcPr>
            <w:tcW w:type="dxa" w:w="1750"/>
            <w:tcMar>
              <w:top w:type="dxa" w:w="100"/>
              <w:left w:type="dxa" w:w="120"/>
              <w:bottom w:type="dxa" w:w="100"/>
              <w:right w:type="dxa" w:w="120"/>
            </w:tcMar>
            <w:vAlign w:val="center"/>
          </w:tcPr>
          <w:p>
            <w:pPr>
              <w:pStyle w:val="TableText"/>
            </w:pPr>
            <w:r>
              <w:t xml:space="preserve">The full pipeline cannot be evaluated end to end.</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6</w:t>
            </w:r>
          </w:p>
        </w:tc>
        <w:tc>
          <w:tcPr>
            <w:tcW w:type="dxa" w:w="1510"/>
            <w:shd w:fill="F4F6F8" w:color="auto" w:val="clear"/>
            <w:tcMar>
              <w:top w:type="dxa" w:w="100"/>
              <w:left w:type="dxa" w:w="120"/>
              <w:bottom w:type="dxa" w:w="100"/>
              <w:right w:type="dxa" w:w="120"/>
            </w:tcMar>
            <w:vAlign w:val="center"/>
          </w:tcPr>
          <w:p>
            <w:pPr>
              <w:pStyle w:val="TableText"/>
            </w:pPr>
            <w:r>
              <w:t xml:space="preserve">Model experimentation</w:t>
            </w:r>
          </w:p>
        </w:tc>
        <w:tc>
          <w:tcPr>
            <w:tcW w:type="dxa" w:w="3300"/>
            <w:shd w:fill="F4F6F8" w:color="auto" w:val="clear"/>
            <w:tcMar>
              <w:top w:type="dxa" w:w="100"/>
              <w:left w:type="dxa" w:w="120"/>
              <w:bottom w:type="dxa" w:w="100"/>
              <w:right w:type="dxa" w:w="120"/>
            </w:tcMar>
            <w:vAlign w:val="center"/>
          </w:tcPr>
          <w:p>
            <w:pPr>
              <w:pStyle w:val="TableText"/>
            </w:pPr>
            <w:r>
              <w:t xml:space="preserve">Select the highest-value experiment from the baseline error analysis and compare it fairly with the fixed baseline.</w:t>
            </w:r>
          </w:p>
        </w:tc>
        <w:tc>
          <w:tcPr>
            <w:tcW w:type="dxa" w:w="3000"/>
            <w:shd w:fill="F4F6F8" w:color="auto" w:val="clear"/>
            <w:tcMar>
              <w:top w:type="dxa" w:w="100"/>
              <w:left w:type="dxa" w:w="120"/>
              <w:bottom w:type="dxa" w:w="100"/>
              <w:right w:type="dxa" w:w="120"/>
            </w:tcMar>
            <w:vAlign w:val="center"/>
          </w:tcPr>
          <w:p>
            <w:pPr>
              <w:pStyle w:val="TableText"/>
            </w:pPr>
            <w:r>
              <w:t xml:space="preserve">At least one controlled comparison with a documented result and decision.</w:t>
            </w:r>
          </w:p>
        </w:tc>
        <w:tc>
          <w:tcPr>
            <w:tcW w:type="dxa" w:w="1750"/>
            <w:shd w:fill="F4F6F8" w:color="auto" w:val="clear"/>
            <w:tcMar>
              <w:top w:type="dxa" w:w="100"/>
              <w:left w:type="dxa" w:w="120"/>
              <w:bottom w:type="dxa" w:w="100"/>
              <w:right w:type="dxa" w:w="120"/>
            </w:tcMar>
            <w:vAlign w:val="center"/>
          </w:tcPr>
          <w:p>
            <w:pPr>
              <w:pStyle w:val="TableText"/>
            </w:pPr>
            <w:r>
              <w:t xml:space="preserve">No result can be compared directly with the baseline.</w:t>
            </w:r>
          </w:p>
        </w:tc>
      </w:tr>
      <w:tr>
        <w:trPr>
          <w:cantSplit/>
          <w:tblHeader w:val="false"/>
        </w:trPr>
        <w:tc>
          <w:tcPr>
            <w:tcW w:type="dxa" w:w="520"/>
            <w:tcMar>
              <w:top w:type="dxa" w:w="100"/>
              <w:left w:type="dxa" w:w="120"/>
              <w:bottom w:type="dxa" w:w="100"/>
              <w:right w:type="dxa" w:w="120"/>
            </w:tcMar>
            <w:vAlign w:val="center"/>
          </w:tcPr>
          <w:p>
            <w:pPr>
              <w:pStyle w:val="TableText"/>
            </w:pPr>
            <w:r>
              <w:t xml:space="preserve">7</w:t>
            </w:r>
          </w:p>
        </w:tc>
        <w:tc>
          <w:tcPr>
            <w:tcW w:type="dxa" w:w="1510"/>
            <w:tcMar>
              <w:top w:type="dxa" w:w="100"/>
              <w:left w:type="dxa" w:w="120"/>
              <w:bottom w:type="dxa" w:w="100"/>
              <w:right w:type="dxa" w:w="120"/>
            </w:tcMar>
            <w:vAlign w:val="center"/>
          </w:tcPr>
          <w:p>
            <w:pPr>
              <w:pStyle w:val="TableText"/>
            </w:pPr>
            <w:r>
              <w:t xml:space="preserve">False-alarm tradeoff</w:t>
            </w:r>
          </w:p>
        </w:tc>
        <w:tc>
          <w:tcPr>
            <w:tcW w:type="dxa" w:w="3300"/>
            <w:tcMar>
              <w:top w:type="dxa" w:w="100"/>
              <w:left w:type="dxa" w:w="120"/>
              <w:bottom w:type="dxa" w:w="100"/>
              <w:right w:type="dxa" w:w="120"/>
            </w:tcMar>
            <w:vAlign w:val="center"/>
          </w:tcPr>
          <w:p>
            <w:pPr>
              <w:pStyle w:val="TableText"/>
            </w:pPr>
            <w:r>
              <w:t xml:space="preserve">Evaluate how decision thresholds balance detected tumors against false alarms; hold the stakeholder review session.</w:t>
            </w:r>
          </w:p>
        </w:tc>
        <w:tc>
          <w:tcPr>
            <w:tcW w:type="dxa" w:w="3000"/>
            <w:tcMar>
              <w:top w:type="dxa" w:w="100"/>
              <w:left w:type="dxa" w:w="120"/>
              <w:bottom w:type="dxa" w:w="100"/>
              <w:right w:type="dxa" w:w="120"/>
            </w:tcMar>
            <w:vAlign w:val="center"/>
          </w:tcPr>
          <w:p>
            <w:pPr>
              <w:pStyle w:val="TableText"/>
            </w:pPr>
            <w:r>
              <w:t xml:space="preserve">Patient-level tradeoff results and documented stakeholder feedback.</w:t>
            </w:r>
          </w:p>
        </w:tc>
        <w:tc>
          <w:tcPr>
            <w:tcW w:type="dxa" w:w="1750"/>
            <w:tcMar>
              <w:top w:type="dxa" w:w="100"/>
              <w:left w:type="dxa" w:w="120"/>
              <w:bottom w:type="dxa" w:w="100"/>
              <w:right w:type="dxa" w:w="120"/>
            </w:tcMar>
            <w:vAlign w:val="center"/>
          </w:tcPr>
          <w:p>
            <w:pPr>
              <w:pStyle w:val="TableText"/>
            </w:pPr>
            <w:r>
              <w:t xml:space="preserve">No usable comparison or stakeholder feedback is available.</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8</w:t>
            </w:r>
          </w:p>
        </w:tc>
        <w:tc>
          <w:tcPr>
            <w:tcW w:type="dxa" w:w="1510"/>
            <w:shd w:fill="F4F6F8" w:color="auto" w:val="clear"/>
            <w:tcMar>
              <w:top w:type="dxa" w:w="100"/>
              <w:left w:type="dxa" w:w="120"/>
              <w:bottom w:type="dxa" w:w="100"/>
              <w:right w:type="dxa" w:w="120"/>
            </w:tcMar>
            <w:vAlign w:val="center"/>
          </w:tcPr>
          <w:p>
            <w:pPr>
              <w:pStyle w:val="TableText"/>
            </w:pPr>
            <w:r>
              <w:t xml:space="preserve">Knowledge retrieval</w:t>
            </w:r>
          </w:p>
        </w:tc>
        <w:tc>
          <w:tcPr>
            <w:tcW w:type="dxa" w:w="3300"/>
            <w:shd w:fill="F4F6F8" w:color="auto" w:val="clear"/>
            <w:tcMar>
              <w:top w:type="dxa" w:w="100"/>
              <w:left w:type="dxa" w:w="120"/>
              <w:bottom w:type="dxa" w:w="100"/>
              <w:right w:type="dxa" w:w="120"/>
            </w:tcMar>
            <w:vAlign w:val="center"/>
          </w:tcPr>
          <w:p>
            <w:pPr>
              <w:pStyle w:val="TableText"/>
            </w:pPr>
            <w:r>
              <w:t xml:space="preserve">Build the literature index and test whether relevant source passages are retrieved for representative questions.</w:t>
            </w:r>
          </w:p>
        </w:tc>
        <w:tc>
          <w:tcPr>
            <w:tcW w:type="dxa" w:w="3000"/>
            <w:shd w:fill="F4F6F8" w:color="auto" w:val="clear"/>
            <w:tcMar>
              <w:top w:type="dxa" w:w="100"/>
              <w:left w:type="dxa" w:w="120"/>
              <w:bottom w:type="dxa" w:w="100"/>
              <w:right w:type="dxa" w:w="120"/>
            </w:tcMar>
            <w:vAlign w:val="center"/>
          </w:tcPr>
          <w:p>
            <w:pPr>
              <w:pStyle w:val="TableText"/>
            </w:pPr>
            <w:r>
              <w:t xml:space="preserve">Queryable literature source with measured retrieval quality.</w:t>
            </w:r>
          </w:p>
        </w:tc>
        <w:tc>
          <w:tcPr>
            <w:tcW w:type="dxa" w:w="1750"/>
            <w:shd w:fill="F4F6F8" w:color="auto" w:val="clear"/>
            <w:tcMar>
              <w:top w:type="dxa" w:w="100"/>
              <w:left w:type="dxa" w:w="120"/>
              <w:bottom w:type="dxa" w:w="100"/>
              <w:right w:type="dxa" w:w="120"/>
            </w:tcMar>
            <w:vAlign w:val="center"/>
          </w:tcPr>
          <w:p>
            <w:pPr>
              <w:pStyle w:val="TableText"/>
            </w:pPr>
            <w:r>
              <w:t xml:space="preserve">The system cannot reliably retrieve supporting passages.</w:t>
            </w:r>
          </w:p>
        </w:tc>
      </w:tr>
      <w:tr>
        <w:trPr>
          <w:cantSplit/>
          <w:tblHeader w:val="false"/>
        </w:trPr>
        <w:tc>
          <w:tcPr>
            <w:tcW w:type="dxa" w:w="520"/>
            <w:tcMar>
              <w:top w:type="dxa" w:w="100"/>
              <w:left w:type="dxa" w:w="120"/>
              <w:bottom w:type="dxa" w:w="100"/>
              <w:right w:type="dxa" w:w="120"/>
            </w:tcMar>
            <w:vAlign w:val="center"/>
          </w:tcPr>
          <w:p>
            <w:pPr>
              <w:pStyle w:val="TableText"/>
            </w:pPr>
            <w:r>
              <w:t xml:space="preserve">9</w:t>
            </w:r>
          </w:p>
        </w:tc>
        <w:tc>
          <w:tcPr>
            <w:tcW w:type="dxa" w:w="1510"/>
            <w:tcMar>
              <w:top w:type="dxa" w:w="100"/>
              <w:left w:type="dxa" w:w="120"/>
              <w:bottom w:type="dxa" w:w="100"/>
              <w:right w:type="dxa" w:w="120"/>
            </w:tcMar>
            <w:vAlign w:val="center"/>
          </w:tcPr>
          <w:p>
            <w:pPr>
              <w:pStyle w:val="TableText"/>
            </w:pPr>
            <w:r>
              <w:t xml:space="preserve">System integration</w:t>
            </w:r>
          </w:p>
        </w:tc>
        <w:tc>
          <w:tcPr>
            <w:tcW w:type="dxa" w:w="3300"/>
            <w:tcMar>
              <w:top w:type="dxa" w:w="100"/>
              <w:left w:type="dxa" w:w="120"/>
              <w:bottom w:type="dxa" w:w="100"/>
              <w:right w:type="dxa" w:w="120"/>
            </w:tcMar>
            <w:vAlign w:val="center"/>
          </w:tcPr>
          <w:p>
            <w:pPr>
              <w:pStyle w:val="TableText"/>
            </w:pPr>
            <w:r>
              <w:t xml:space="preserve">Connect scan processing, measurements, review, stored decisions, and the evidence-grounded assistant.</w:t>
            </w:r>
          </w:p>
        </w:tc>
        <w:tc>
          <w:tcPr>
            <w:tcW w:type="dxa" w:w="3000"/>
            <w:tcMar>
              <w:top w:type="dxa" w:w="100"/>
              <w:left w:type="dxa" w:w="120"/>
              <w:bottom w:type="dxa" w:w="100"/>
              <w:right w:type="dxa" w:w="120"/>
            </w:tcMar>
            <w:vAlign w:val="center"/>
          </w:tcPr>
          <w:p>
            <w:pPr>
              <w:pStyle w:val="TableText"/>
            </w:pPr>
            <w:r>
              <w:t xml:space="preserve">End-to-end demonstration from scan arrival to recorded review decision.</w:t>
            </w:r>
          </w:p>
        </w:tc>
        <w:tc>
          <w:tcPr>
            <w:tcW w:type="dxa" w:w="1750"/>
            <w:tcMar>
              <w:top w:type="dxa" w:w="100"/>
              <w:left w:type="dxa" w:w="120"/>
              <w:bottom w:type="dxa" w:w="100"/>
              <w:right w:type="dxa" w:w="120"/>
            </w:tcMar>
            <w:vAlign w:val="center"/>
          </w:tcPr>
          <w:p>
            <w:pPr>
              <w:pStyle w:val="TableText"/>
            </w:pPr>
            <w:r>
              <w:t xml:space="preserve">Major components still require separate manual operation.</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10</w:t>
            </w:r>
          </w:p>
        </w:tc>
        <w:tc>
          <w:tcPr>
            <w:tcW w:type="dxa" w:w="1510"/>
            <w:shd w:fill="F4F6F8" w:color="auto" w:val="clear"/>
            <w:tcMar>
              <w:top w:type="dxa" w:w="100"/>
              <w:left w:type="dxa" w:w="120"/>
              <w:bottom w:type="dxa" w:w="100"/>
              <w:right w:type="dxa" w:w="120"/>
            </w:tcMar>
            <w:vAlign w:val="center"/>
          </w:tcPr>
          <w:p>
            <w:pPr>
              <w:pStyle w:val="TableText"/>
            </w:pPr>
            <w:r>
              <w:t xml:space="preserve">Evaluation and delivery</w:t>
            </w:r>
          </w:p>
        </w:tc>
        <w:tc>
          <w:tcPr>
            <w:tcW w:type="dxa" w:w="3300"/>
            <w:shd w:fill="F4F6F8" w:color="auto" w:val="clear"/>
            <w:tcMar>
              <w:top w:type="dxa" w:w="100"/>
              <w:left w:type="dxa" w:w="120"/>
              <w:bottom w:type="dxa" w:w="100"/>
              <w:right w:type="dxa" w:w="120"/>
            </w:tcMar>
            <w:vAlign w:val="center"/>
          </w:tcPr>
          <w:p>
            <w:pPr>
              <w:pStyle w:val="TableText"/>
            </w:pPr>
            <w:r>
              <w:t xml:space="preserve">Run the held-out evaluation, complete documentation, and prepare the demonstration and presentation.</w:t>
            </w:r>
          </w:p>
        </w:tc>
        <w:tc>
          <w:tcPr>
            <w:tcW w:type="dxa" w:w="3000"/>
            <w:shd w:fill="F4F6F8" w:color="auto" w:val="clear"/>
            <w:tcMar>
              <w:top w:type="dxa" w:w="100"/>
              <w:left w:type="dxa" w:w="120"/>
              <w:bottom w:type="dxa" w:w="100"/>
              <w:right w:type="dxa" w:w="120"/>
            </w:tcMar>
            <w:vAlign w:val="center"/>
          </w:tcPr>
          <w:p>
            <w:pPr>
              <w:pStyle w:val="TableText"/>
            </w:pPr>
            <w:r>
              <w:t xml:space="preserve">Metrics, limitations, model card, user guidance, and presentation materials.</w:t>
            </w:r>
          </w:p>
        </w:tc>
        <w:tc>
          <w:tcPr>
            <w:tcW w:type="dxa" w:w="1750"/>
            <w:shd w:fill="F4F6F8" w:color="auto" w:val="clear"/>
            <w:tcMar>
              <w:top w:type="dxa" w:w="100"/>
              <w:left w:type="dxa" w:w="120"/>
              <w:bottom w:type="dxa" w:w="100"/>
              <w:right w:type="dxa" w:w="120"/>
            </w:tcMar>
            <w:vAlign w:val="center"/>
          </w:tcPr>
          <w:p>
            <w:pPr>
              <w:pStyle w:val="TableText"/>
            </w:pPr>
            <w:r>
              <w:t xml:space="preserve">Evaluation or documentation remains incomplete.</w:t>
            </w:r>
          </w:p>
        </w:tc>
      </w:tr>
    </w:tbl>
    <w:p>
      <w:pPr>
        <w:pStyle w:val="Heading2"/>
      </w:pPr>
      <w:r>
        <w:t xml:space="preserve">Scope control and stakeholder review</w:t>
      </w:r>
    </w:p>
    <w:p>
      <w:pPr>
        <w:pStyle w:val="BodyText"/>
      </w:pPr>
      <w:r>
        <w:t xml:space="preserve">The committed scope is the autonomous imaging pipeline, validated multi-source data layer, controlled model experimentation, patient-level evaluation, recorded review workflow, evidence-grounded literature retrieval, and professional documentation. Optional work begins only after those capabilities are functioning.</w:t>
      </w:r>
    </w:p>
    <w:p>
      <w:pPr>
        <w:pStyle w:val="BodyText"/>
      </w:pPr>
      <w:r>
        <w:rPr>
          <w:b/>
          <w:bCs/>
          <w:color w:val="153A5B"/>
        </w:rPr>
        <w:t xml:space="preserve">Optional extensions. </w:t>
      </w:r>
      <w:r>
        <w:t xml:space="preserve">Additional model experimentation, expanded literature sources, richer report support, and outside evaluation may strengthen the project if time and evidence justify them. They are not required for the core system to count as complete, and none is presented as a guaranteed improvement.</w:t>
      </w:r>
    </w:p>
    <w:p>
      <w:pPr>
        <w:pStyle w:val="BodyText"/>
      </w:pPr>
      <w:r>
        <w:rPr>
          <w:b/>
          <w:bCs/>
          <w:color w:val="153A5B"/>
        </w:rPr>
        <w:t xml:space="preserve">Stakeholder plan. </w:t>
      </w:r>
      <w:r>
        <w:t xml:space="preserve">A diagnostic care coordinator has confirmed availability for the week 7 review session so feedback can shape the remaining work. A practicing radiologist is being arranged as the primary reviewer. If that is not available, the confirmed coordinator provides a real clinical-workflow perspective rather than replacing the need to disclose the limitation.</w:t>
      </w:r>
    </w:p>
    <w:p>
      <w:pPr>
        <w:pStyle w:val="Heading1"/>
      </w:pPr>
      <w:r>
        <w:t xml:space="preserve">7. Motivation, Professional Growth, and Challenge</w:t>
      </w:r>
    </w:p>
    <w:p>
      <w:pPr>
        <w:pStyle w:val="BodyText"/>
      </w:pPr>
      <w:r>
        <w:t xml:space="preserve">I chose to take on pancreatic imaging because it is a meaningful technical challenge. The pancreas is soft tissue, varies substantially between patients, and sits in a crowded part of the abdomen. Small lesions can be difficult to distinguish even when someone is looking directly at the correct region. Building software that locates the organ, proposes contours, and brings a reviewer to a suspicious area does not replace that reviewer’s judgment. It makes the human decision the center of the workflow.</w:t>
      </w:r>
    </w:p>
    <w:p>
      <w:pPr>
        <w:pStyle w:val="BodyText"/>
      </w:pPr>
      <w:r>
        <w:t xml:space="preserve">My motivation is also personal. My aunt is a diagnostic care coordinator who schedules biopsies, works with CT imaging, and helps patients understand what their imaging showed. When I described the project to her, she explained why pancreatic imaging is especially difficult in practice. My step-grandfather spent his career as a radiologist, my mother began radiology school, and my grandfather worked in healthcare leadership at Intermountain Healthcare. Johns Hopkins research shaped many of the clinical practices he followed, which gives the source of this project’s data and pretrained model unusual personal significance for me.</w:t>
      </w:r>
    </w:p>
    <w:p>
      <w:pPr>
        <w:pStyle w:val="BodyText"/>
      </w:pPr>
      <w:r>
        <w:t xml:space="preserve">My grandfather also experienced the consequences of delayed understanding from medical imaging. After a stroke in 1998, the initial angiogram did not reveal the clot and the event was recorded as a transient ischemic attack. The clot was found months later, after the damage was permanent. He lived with dementia for the rest of his life and died last year. That experience is why the distance between what an image contains and what a clinician can act on is not an abstract problem to me.</w:t>
      </w:r>
    </w:p>
    <w:p>
      <w:pPr>
        <w:pStyle w:val="BodyText"/>
      </w:pPr>
      <w:r>
        <w:t xml:space="preserve">The capstone challenges me beyond the preceding project in several ways. I must learn more of the medical-imaging domain, work with multiple large data sources, design reliable data controls, remove a human-provided region from the model’s workflow, and connect modeling, retrieval, persistence, automation, and user review into one coherent system. The challenge is not merely writing more code. It is deciding which evidence matters, resisting attractive but unsupported conclusions, and making technical choices that remain understandable to a reviewer.</w:t>
      </w:r>
    </w:p>
    <w:p>
      <w:pPr>
        <w:pStyle w:val="BodyText"/>
      </w:pPr>
      <w:r>
        <w:t xml:space="preserve">The most important professional growth will come from managing uncertainty. Model experimentation does not guarantee improvement, and the autonomous system may perform worse than the provided-region baseline. My responsibility is to design fair comparisons, adapt the next experiment to the measured failure mode, control time and compute costs, and report the result honestly. Completing that process at this scale will strengthen me as both an AI practitioner and a technical decision-maker.</w:t>
      </w:r>
    </w:p>
    <w:sectPr>
      <w:footerReference w:type="default" r:id="rId7"/>
      <w:footerReference w:type="first" r:id="rId8"/>
      <w:pgSz w:w="12240" w:h="15840" w:orient="portrait"/>
      <w:pgMar w:top="1080" w:right="1080" w:bottom="1080" w:left="1080" w:header="540" w:footer="540" w:gutter="0"/>
      <w:pgNumType w:start="0"/>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D6A74"/>
        <w:sz w:val="17"/>
        <w:szCs w:val="17"/>
      </w:rPr>
      <w:t xml:space="preserve">Quinn Evans  |  Capstone Proposal  |  </w:t>
    </w:r>
    <w:r>
      <w:rPr>
        <w:color w:val="5D6A74"/>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Aptos" w:cs="Aptos" w:eastAsia="Aptos" w:hAnsi="Aptos"/>
        <w:color w:val="147D7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4313D"/>
        <w:sz w:val="21"/>
        <w:szCs w:val="21"/>
      </w:rPr>
    </w:rPrDefault>
    <w:pPrDefault>
      <w:pPr>
        <w:spacing w:after="13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Text">
    <w:name w:val="Body Text"/>
    <w:basedOn w:val="Normal"/>
    <w:next w:val="BodyText"/>
    <w:qFormat/>
    <w:pPr>
      <w:spacing w:after="130" w:line="276"/>
    </w:pPr>
    <w:rPr>
      <w:rFonts w:ascii="Aptos" w:cs="Aptos" w:eastAsia="Aptos" w:hAnsi="Aptos"/>
      <w:color w:val="24313D"/>
      <w:sz w:val="21"/>
      <w:szCs w:val="21"/>
    </w:rPr>
  </w:style>
  <w:style w:type="paragraph" w:styleId="Heading1">
    <w:name w:val="Heading 1"/>
    <w:basedOn w:val="Normal"/>
    <w:next w:val="BodyText"/>
    <w:qFormat/>
    <w:pPr>
      <w:keepNext/>
      <w:pBdr>
        <w:bottom w:val="single" w:color="147D73" w:sz="7" w:space="5"/>
      </w:pBdr>
      <w:spacing w:after="130" w:before="300"/>
      <w:outlineLvl w:val="0"/>
    </w:pPr>
    <w:rPr>
      <w:rFonts w:ascii="Aptos Display" w:cs="Aptos Display" w:eastAsia="Aptos Display" w:hAnsi="Aptos Display"/>
      <w:b/>
      <w:bCs/>
      <w:color w:val="153A5B"/>
      <w:sz w:val="30"/>
      <w:szCs w:val="30"/>
    </w:rPr>
  </w:style>
  <w:style w:type="paragraph" w:styleId="Heading2">
    <w:name w:val="Heading 2"/>
    <w:basedOn w:val="Normal"/>
    <w:next w:val="BodyText"/>
    <w:qFormat/>
    <w:pPr>
      <w:keepNext/>
      <w:spacing w:after="90" w:before="230"/>
      <w:outlineLvl w:val="1"/>
    </w:pPr>
    <w:rPr>
      <w:rFonts w:ascii="Aptos Display" w:cs="Aptos Display" w:eastAsia="Aptos Display" w:hAnsi="Aptos Display"/>
      <w:b/>
      <w:bCs/>
      <w:color w:val="147D73"/>
      <w:sz w:val="24"/>
      <w:szCs w:val="24"/>
    </w:rPr>
  </w:style>
  <w:style w:type="paragraph" w:styleId="Callout">
    <w:name w:val="Callout"/>
    <w:basedOn w:val="BodyText"/>
    <w:next w:val="BodyText"/>
    <w:pPr>
      <w:pBdr>
        <w:left w:val="single" w:color="147D73" w:sz="18" w:space="8"/>
      </w:pBdr>
      <w:shd w:fill="EAF4F3" w:color="auto" w:val="clear"/>
      <w:spacing w:after="180" w:before="80" w:line="260"/>
      <w:ind w:left="240" w:right="240"/>
    </w:pPr>
    <w:rPr>
      <w:rFonts w:ascii="Aptos" w:cs="Aptos" w:eastAsia="Aptos" w:hAnsi="Aptos"/>
      <w:color w:val="24313D"/>
      <w:sz w:val="20"/>
      <w:szCs w:val="20"/>
    </w:rPr>
  </w:style>
  <w:style w:type="paragraph" w:styleId="TableText">
    <w:name w:val="Table Text"/>
    <w:basedOn w:val="Normal"/>
    <w:next w:val="TableText"/>
    <w:pPr>
      <w:spacing w:after="0" w:line="215"/>
    </w:pPr>
    <w:rPr>
      <w:rFonts w:ascii="Aptos" w:cs="Aptos" w:eastAsia="Aptos" w:hAnsi="Aptos"/>
      <w:color w:val="24313D"/>
      <w:sz w:val="17"/>
      <w:szCs w:val="17"/>
    </w:rPr>
  </w:style>
  <w:style w:type="paragraph" w:styleId="TableHeader">
    <w:name w:val="Table Header"/>
    <w:basedOn w:val="Normal"/>
    <w:next w:val="TableText"/>
    <w:pPr>
      <w:keepNext/>
      <w:spacing w:after="0" w:line="210"/>
    </w:pPr>
    <w:rPr>
      <w:rFonts w:ascii="Aptos" w:cs="Aptos" w:eastAsia="Aptos" w:hAnsi="Aptos"/>
      <w:b/>
      <w:bCs/>
      <w:color w:val="FFFFFF"/>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BSAAI Capstone Proposal — Autonomous Pancreatic Lesion Detection and Radiologist Review System</dc:title>
  <dc:creator>Quinn Evans</dc:creator>
  <dc:description>Capstone proposal for an autonomous pancreatic lesion segmentation and radiologist review system.</dc:description>
  <cp:lastModifiedBy>Un-named</cp:lastModifiedBy>
  <cp:revision>1</cp:revision>
  <dcterms:created xsi:type="dcterms:W3CDTF">2026-08-25T17:39:27.216Z</dcterms:created>
  <dcterms:modified xsi:type="dcterms:W3CDTF">2026-08-25T17:39:27.216Z</dcterms:modified>
</cp:coreProperties>
</file>

<file path=docProps/custom.xml><?xml version="1.0" encoding="utf-8"?>
<Properties xmlns="http://schemas.openxmlformats.org/officeDocument/2006/custom-properties" xmlns:vt="http://schemas.openxmlformats.org/officeDocument/2006/docPropsVTypes"/>
</file>