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100"/>
      </w:pPr>
    </w:p>
    <w:p>
      <w:pPr>
        <w:spacing w:after="300"/>
        <w:jc w:val="center"/>
      </w:pPr>
      <w:r>
        <w:rPr>
          <w:b/>
          <w:bCs/>
          <w:color w:val="147D73"/>
          <w:spacing w:val="80"/>
          <w:sz w:val="22"/>
          <w:szCs w:val="22"/>
        </w:rPr>
        <w:t xml:space="preserve">BSAAI CAPSTONE PROPOSAL</w:t>
      </w:r>
    </w:p>
    <w:p>
      <w:pPr>
        <w:spacing w:after="180"/>
        <w:jc w:val="center"/>
      </w:pPr>
      <w:r>
        <w:rPr>
          <w:b/>
          <w:bCs/>
          <w:color w:val="153A5B"/>
          <w:sz w:val="42"/>
          <w:szCs w:val="42"/>
        </w:rPr>
        <w:t xml:space="preserve">Autonomous Pancreatic Lesion Detection</w:t>
      </w:r>
    </w:p>
    <w:p>
      <w:pPr>
        <w:spacing w:after="600"/>
        <w:jc w:val="center"/>
      </w:pPr>
      <w:r>
        <w:rPr>
          <w:b/>
          <w:bCs/>
          <w:color w:val="147D73"/>
          <w:sz w:val="32"/>
          <w:szCs w:val="32"/>
        </w:rPr>
        <w:t xml:space="preserve">and Radiologist Review System</w:t>
      </w:r>
    </w:p>
    <w:p>
      <w:pPr>
        <w:pBdr>
          <w:top w:val="single" w:color="C8D4DC" w:sz="8" w:space="12"/>
        </w:pBdr>
        <w:spacing w:after="240" w:before="280"/>
        <w:jc w:val="center"/>
      </w:pPr>
      <w:r>
        <w:rPr>
          <w:b/>
          <w:bCs/>
          <w:color w:val="24313D"/>
          <w:sz w:val="26"/>
          <w:szCs w:val="26"/>
        </w:rPr>
        <w:t xml:space="preserve">Quinton Evans</w:t>
      </w:r>
    </w:p>
    <w:p>
      <w:pPr>
        <w:spacing w:after="100"/>
        <w:jc w:val="center"/>
      </w:pPr>
      <w:r>
        <w:rPr>
          <w:color w:val="5D6A74"/>
          <w:sz w:val="21"/>
          <w:szCs w:val="21"/>
        </w:rPr>
        <w:t xml:space="preserve">Bachelor of Science in Applied Artificial Intelligence and Data Engineering</w:t>
      </w:r>
    </w:p>
    <w:p>
      <w:pPr>
        <w:jc w:val="center"/>
      </w:pPr>
      <w:r>
        <w:rPr>
          <w:color w:val="5D6A74"/>
          <w:sz w:val="20"/>
          <w:szCs w:val="20"/>
        </w:rPr>
        <w:t xml:space="preserve">August 25, 2026</w:t>
      </w:r>
    </w:p>
    <w:p>
      <w:r>
        <w:br w:type="page"/>
      </w:r>
    </w:p>
    <w:p>
      <w:pPr>
        <w:pStyle w:val="Heading1"/>
      </w:pPr>
      <w:r>
        <w:t xml:space="preserve">1. Motivation and Purpose</w:t>
      </w:r>
    </w:p>
    <w:p>
      <w:pPr>
        <w:pStyle w:val="BodyText"/>
      </w:pPr>
      <w:r>
        <w:t xml:space="preserve">Medical imaging matters to me because the distance between what a scan contains and what a clinician can act on has affected my family directly. In 1998 my grandfather had a stroke. The initial angiogram did not reveal the clot, and the event was recorded as a transient ischemic attack. The clot was found months later, after the damage was permanent. He lived with dementia for the rest of his life and died last year. That experience is why the gap between an image and an actionable understanding is not an abstract problem to me.</w:t>
      </w:r>
    </w:p>
    <w:p>
      <w:pPr>
        <w:pStyle w:val="BodyText"/>
      </w:pPr>
      <w:r>
        <w:t xml:space="preserve">There is also a long history of healthcare in my family. My step-grandfather spent his career as a radiologist, my mother began radiology school, and my grandfather worked in healthcare leadership at Intermountain Healthcare. Johns Hopkins research shaped many of the clinical practices he followed. My aunt is a diagnostic care coordinator who schedules biopsies, works with CT imaging, and helps patients understand what their imaging showed. When I described this project to her, she explained why pancreatic imaging is especially difficult in practice.</w:t>
      </w:r>
    </w:p>
    <w:p>
      <w:pPr>
        <w:pStyle w:val="BodyText"/>
      </w:pPr>
      <w:r>
        <w:t xml:space="preserve">I chose pancreatic imaging because it is a meaningful technical challenge. The pancreas is soft tissue, varies substantially between patients, and sits in a crowded part of the abdomen. Small lesions can be difficult to distinguish even when someone is looking directly at the correct region. Software that locates the organ, proposes contours, and brings a reviewer to a suspicious area does not replace that reviewer’s judgment. It helps the human reach the right part of the image and keeps the human decision at the center of the workflow.</w:t>
      </w:r>
    </w:p>
    <w:p>
      <w:pPr>
        <w:pStyle w:val="Heading1"/>
      </w:pPr>
      <w:r>
        <w:t xml:space="preserve">2. Project Overview and Intended User</w:t>
      </w:r>
    </w:p>
    <w:p>
      <w:pPr>
        <w:pStyle w:val="BodyText"/>
      </w:pPr>
      <w:r>
        <w:t xml:space="preserve">This capstone will build an autonomous pancreatic-lesion annotation-assist system for radiologists and radiology clinicians reviewing abdominal CT. When a scan enters the system, the imaging pipeline will locate the pancreas, outline the organ and any suspected lesion, calculate useful measurements, and assign a score that helps order the review worklist. The reviewer will see the scan and proposed contours, then accept, edit, or reject them. That decision will be stored as part of the system’s correction and limitation history.</w:t>
      </w:r>
    </w:p>
    <w:p>
      <w:pPr>
        <w:pStyle w:val="BodyText"/>
      </w:pPr>
      <w:r>
        <w:rPr>
          <w:b/>
          <w:bCs/>
          <w:color w:val="153A5B"/>
        </w:rPr>
        <w:t xml:space="preserve">The present limitation. </w:t>
      </w:r>
      <w:r>
        <w:t xml:space="preserve">A model developed during the preceding project detected tumors in 96% of positive patients but correctly left only 17% of healthy patients unflagged. It also required the pancreas location to be supplied before segmentation. Those results show both the potential of the approach and the two problems the capstone must address: too many false alarms and the need for autonomous localization.</w:t>
      </w:r>
    </w:p>
    <w:p>
      <w:pPr>
        <w:pStyle w:val="BodyText"/>
      </w:pPr>
      <w:r>
        <w:rPr>
          <w:b/>
          <w:bCs/>
          <w:color w:val="153A5B"/>
        </w:rPr>
        <w:t xml:space="preserve">The capstone need. </w:t>
      </w:r>
      <w:r>
        <w:t xml:space="preserve">The project will train and evaluate new models for the autonomous system, measure the accuracy lost when localization becomes automatic, and use model experimentation to improve the balance between detected tumors and false alarms. The previous result is evidence that motivates the work; the previous trained model will not be reused as the capstone model.</w:t>
      </w:r>
    </w:p>
    <w:p>
      <w:pPr>
        <w:pStyle w:val="BodyText"/>
      </w:pPr>
      <w:r>
        <w:rPr>
          <w:b/>
          <w:bCs/>
          <w:color w:val="153A5B"/>
        </w:rPr>
        <w:t xml:space="preserve">Supporting knowledge access. </w:t>
      </w:r>
      <w:r>
        <w:t xml:space="preserve">A connected literature assistant will retrieve relevant source passages for the structured imaging findings, show citations beside supported statements, and decline when the available material does not support an answer. This is a supporting workstream within the review workflow rather than the central modeling contribution.</w:t>
      </w:r>
    </w:p>
    <w:p>
      <w:pPr>
        <w:pStyle w:val="BodyText"/>
      </w:pPr>
      <w:r>
        <w:rPr>
          <w:b/>
          <w:bCs/>
          <w:color w:val="153A5B"/>
        </w:rPr>
        <w:t xml:space="preserve">Professional value. </w:t>
      </w:r>
      <w:r>
        <w:t xml:space="preserve">The deliverable is a reproducible system with known data history, controlled evaluation, recorded reviewer decisions, documented risks, and a usable interface. A difficult experiment may produce a null result; the system, evaluation process, and honest account of its limitations are not optional.</w:t>
      </w:r>
    </w:p>
    <w:p>
      <w:pPr>
        <w:pStyle w:val="Callout"/>
      </w:pPr>
      <w:r>
        <w:rPr>
          <w:b/>
          <w:bCs/>
          <w:color w:val="147D73"/>
        </w:rPr>
        <w:t xml:space="preserve">Scope guardrail. </w:t>
      </w:r>
      <w:r>
        <w:t xml:space="preserve">This is a segmentation and review-support system. It does not diagnose disease, determine treatment, or make a clinical claim.</w:t>
      </w:r>
    </w:p>
    <w:p>
      <w:pPr>
        <w:pStyle w:val="Heading1"/>
        <w:pageBreakBefore/>
      </w:pPr>
      <w:r>
        <w:t xml:space="preserve">3. Starting Point and New Capstone Work</w:t>
      </w:r>
    </w:p>
    <w:p>
      <w:pPr>
        <w:pStyle w:val="BodyText"/>
      </w:pPr>
      <w:r>
        <w:t xml:space="preserve">The prior project contributes experience, failure analysis, and selected validated pipeline structure—not a completed model for the capstone. Data-preparation and evaluation components may be adapted where they remain appropriate, but no model trained during the preceding project will be reused as a capstone model. New models will be trained and evaluated under the capstone’s autonomous and multi-source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Prior project provides</w:t>
            </w:r>
          </w:p>
        </w:tc>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Capstone will produce</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preparing and evaluating 3D medical images</w:t>
            </w:r>
          </w:p>
        </w:tc>
        <w:tc>
          <w:tcPr>
            <w:tcW w:type="dxa" w:w="5040"/>
            <w:tcMar>
              <w:top w:type="dxa" w:w="100"/>
              <w:left w:type="dxa" w:w="120"/>
              <w:bottom w:type="dxa" w:w="100"/>
              <w:right w:type="dxa" w:w="120"/>
            </w:tcMar>
            <w:vAlign w:val="center"/>
          </w:tcPr>
          <w:p>
            <w:pPr>
              <w:pStyle w:val="TableText"/>
            </w:pPr>
            <w:r>
              <w:t xml:space="preserve">New models trained and evaluated for an autonomous system</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A validated structure for data preparation and evaluation</w:t>
            </w:r>
          </w:p>
        </w:tc>
        <w:tc>
          <w:tcPr>
            <w:tcW w:type="dxa" w:w="5040"/>
            <w:shd w:fill="F4F6F8" w:color="auto" w:val="clear"/>
            <w:tcMar>
              <w:top w:type="dxa" w:w="100"/>
              <w:left w:type="dxa" w:w="120"/>
              <w:bottom w:type="dxa" w:w="100"/>
              <w:right w:type="dxa" w:w="120"/>
            </w:tcMar>
            <w:vAlign w:val="center"/>
          </w:tcPr>
          <w:p>
            <w:pPr>
              <w:pStyle w:val="TableText"/>
            </w:pPr>
            <w:r>
              <w:t xml:space="preserve">A pipeline adapted for multiple data sources and the new experimental design</w:t>
            </w:r>
          </w:p>
        </w:tc>
      </w:tr>
      <w:tr>
        <w:trPr>
          <w:cantSplit/>
          <w:tblHeader w:val="false"/>
        </w:trPr>
        <w:tc>
          <w:tcPr>
            <w:tcW w:type="dxa" w:w="5040"/>
            <w:tcMar>
              <w:top w:type="dxa" w:w="100"/>
              <w:left w:type="dxa" w:w="120"/>
              <w:bottom w:type="dxa" w:w="100"/>
              <w:right w:type="dxa" w:w="120"/>
            </w:tcMar>
            <w:vAlign w:val="center"/>
          </w:tcPr>
          <w:p>
            <w:pPr>
              <w:pStyle w:val="TableText"/>
            </w:pPr>
            <w:r>
              <w:t xml:space="preserve">Documented experiments and lessons from approaches that succeeded or failed</w:t>
            </w:r>
          </w:p>
        </w:tc>
        <w:tc>
          <w:tcPr>
            <w:tcW w:type="dxa" w:w="5040"/>
            <w:tcMar>
              <w:top w:type="dxa" w:w="100"/>
              <w:left w:type="dxa" w:w="120"/>
              <w:bottom w:type="dxa" w:w="100"/>
              <w:right w:type="dxa" w:w="120"/>
            </w:tcMar>
            <w:vAlign w:val="center"/>
          </w:tcPr>
          <w:p>
            <w:pPr>
              <w:pStyle w:val="TableText"/>
            </w:pPr>
            <w:r>
              <w:t xml:space="preserve">Model experimentation selected from the new baseline and its measured errors</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Knowledge of false alarms, data leakage, and dependence on a provided region</w:t>
            </w:r>
          </w:p>
        </w:tc>
        <w:tc>
          <w:tcPr>
            <w:tcW w:type="dxa" w:w="5040"/>
            <w:shd w:fill="F4F6F8" w:color="auto" w:val="clear"/>
            <w:tcMar>
              <w:top w:type="dxa" w:w="100"/>
              <w:left w:type="dxa" w:w="120"/>
              <w:bottom w:type="dxa" w:w="100"/>
              <w:right w:type="dxa" w:w="120"/>
            </w:tcMar>
            <w:vAlign w:val="center"/>
          </w:tcPr>
          <w:p>
            <w:pPr>
              <w:pStyle w:val="TableText"/>
            </w:pPr>
            <w:r>
              <w:t xml:space="preserve">Patient-level evaluation designed around those known risks</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with model tracking, serving, and medical-image review</w:t>
            </w:r>
          </w:p>
        </w:tc>
        <w:tc>
          <w:tcPr>
            <w:tcW w:type="dxa" w:w="5040"/>
            <w:tcMar>
              <w:top w:type="dxa" w:w="100"/>
              <w:left w:type="dxa" w:w="120"/>
              <w:bottom w:type="dxa" w:w="100"/>
              <w:right w:type="dxa" w:w="120"/>
            </w:tcMar>
            <w:vAlign w:val="center"/>
          </w:tcPr>
          <w:p>
            <w:pPr>
              <w:pStyle w:val="TableText"/>
            </w:pPr>
            <w:r>
              <w:t xml:space="preserve">An integrated workflow built and evaluated for the capstone system</w:t>
            </w:r>
          </w:p>
        </w:tc>
      </w:tr>
    </w:tbl>
    <w:p>
      <w:pPr>
        <w:pStyle w:val="Heading2"/>
      </w:pPr>
      <w:r>
        <w:t xml:space="preserve">Multi-source integration in plain language</w:t>
      </w:r>
    </w:p>
    <w:p>
      <w:pPr>
        <w:pStyle w:val="BodyText"/>
      </w:pPr>
      <w:r>
        <w:t xml:space="preserve">The imaging work will combine PanTS and PANORAMA. Their scans use compatible medical-image formats, but their labels, annotation quality, identifiers, and definitions of a negative case differ, and some scans may appear in both sources. Before combined data enters training or evaluation, the project will match records, remove known overlap, test for undeclared duplicates, record where each annotation came from, and keep every patient entirely within one data group. This prevents data leakage—the mistake of allowing information from an evaluation patient to influence training and make performance appear better than it really is. Detailed counts and reconciliation rules belong in the technical appendix.</w:t>
      </w:r>
    </w:p>
    <w:p>
      <w:pPr>
        <w:pStyle w:val="Heading1"/>
      </w:pPr>
      <w:r>
        <w:t xml:space="preserve">4. Model Experimentation</w:t>
      </w:r>
    </w:p>
    <w:p>
      <w:pPr>
        <w:pStyle w:val="BodyText"/>
      </w:pPr>
      <w:r>
        <w:t xml:space="preserve">The proposal commits to model experimentation, but it does not assume in advance which modeling strategy will be most useful. The autonomous baseline and its error analysis will determine the first experimental question. This keeps the project responsive to evidence instead of requiring a technique that may not address the measured failure mode.</w:t>
      </w:r>
    </w:p>
    <w:p>
      <w:pPr>
        <w:pStyle w:val="BodyText"/>
      </w:pPr>
      <w:r>
        <w:t xml:space="preserve">Each experiment will begin with a written hypothesis, a fixed comparison, and a definition of what evidence would justify adopting the result. Training and evaluation data, preprocessing, and metrics will remain fixed unless one of those is the variable being studied. Major strategies will be evaluated separately so that any improvement or failure can be interpreted without several changes being mixed together.</w:t>
      </w:r>
    </w:p>
    <w:p>
      <w:pPr>
        <w:pStyle w:val="BodyText"/>
      </w:pPr>
      <w:r>
        <w:t xml:space="preserve">Results will include pancreas and lesion overlap accuracy, patient-level tumor detection, and specificity—the percentage of healthy patients correctly left unflagged. The project will also compare the provided-region and autonomous conditions, examine important failure groups, and report uncertainty where the data support it. Model selection will be based on the full pattern of results rather than one favorable number.</w:t>
      </w:r>
    </w:p>
    <w:p>
      <w:pPr>
        <w:pStyle w:val="Callout"/>
      </w:pPr>
      <w:r>
        <w:rPr>
          <w:b/>
          <w:bCs/>
          <w:color w:val="147D73"/>
        </w:rPr>
        <w:t xml:space="preserve">What is promised. </w:t>
      </w:r>
      <w:r>
        <w:t xml:space="preserve">A fixed baseline, controlled comparisons, patient-level evaluation, and a documented decision. No particular modeling technique is promised to succeed.</w:t>
      </w:r>
    </w:p>
    <w:p>
      <w:pPr>
        <w:pStyle w:val="Heading1"/>
      </w:pPr>
      <w:r>
        <w:t xml:space="preserve">5. Technical Approach and Applied AI Skills</w:t>
      </w:r>
    </w:p>
    <w:p>
      <w:pPr>
        <w:pStyle w:val="BodyText"/>
        <w:numPr>
          <w:ilvl w:val="0"/>
          <w:numId w:val="2"/>
        </w:numPr>
      </w:pPr>
      <w:r>
        <w:rPr>
          <w:b/>
          <w:bCs/>
          <w:color w:val="153A5B"/>
        </w:rPr>
        <w:t xml:space="preserve">Medical-image machine learning — Python, PyTorch, and MONAI. </w:t>
      </w:r>
      <w:r>
        <w:t xml:space="preserve">Demonstrates 3D localization, segmentation, full-volume inference, and patient-level evaluation. </w:t>
      </w:r>
      <w:r>
        <w:rPr>
          <w:b/>
          <w:bCs/>
        </w:rPr>
        <w:t xml:space="preserve">Experience: </w:t>
      </w:r>
      <w:r>
        <w:t xml:space="preserve">Strong with the validated pipeline structure and evaluation process. </w:t>
      </w:r>
      <w:r>
        <w:rPr>
          <w:b/>
          <w:bCs/>
        </w:rPr>
        <w:t xml:space="preserve">Growth plan: </w:t>
      </w:r>
      <w:r>
        <w:t xml:space="preserve">Train new models, deepen autonomous localization and error analysis, and make model choices from evidence.</w:t>
      </w:r>
    </w:p>
    <w:p>
      <w:pPr>
        <w:pStyle w:val="BodyText"/>
        <w:numPr>
          <w:ilvl w:val="0"/>
          <w:numId w:val="2"/>
        </w:numPr>
      </w:pPr>
      <w:r>
        <w:rPr>
          <w:b/>
          <w:bCs/>
          <w:color w:val="153A5B"/>
        </w:rPr>
        <w:t xml:space="preserve">Data integration and quality. </w:t>
      </w:r>
      <w:r>
        <w:t xml:space="preserve">Demonstrates combining datasets, matching records across sources, reconciling label meaning, tracking annotation origin, detecting duplicates, and protecting evaluation data. </w:t>
      </w:r>
      <w:r>
        <w:rPr>
          <w:b/>
          <w:bCs/>
        </w:rPr>
        <w:t xml:space="preserve">Experience: </w:t>
      </w:r>
      <w:r>
        <w:t xml:space="preserve">Experienced combining datasets and building reproducible data pipelines. </w:t>
      </w:r>
      <w:r>
        <w:rPr>
          <w:b/>
          <w:bCs/>
        </w:rPr>
        <w:t xml:space="preserve">Growth plan: </w:t>
      </w:r>
      <w:r>
        <w:t xml:space="preserve">Apply that experience to the project’s validation, provenance, and evaluation controls, and document the reconciliation evidence in the technical appendix.</w:t>
      </w:r>
    </w:p>
    <w:p>
      <w:pPr>
        <w:pStyle w:val="BodyText"/>
        <w:numPr>
          <w:ilvl w:val="0"/>
          <w:numId w:val="2"/>
        </w:numPr>
      </w:pPr>
      <w:r>
        <w:rPr>
          <w:b/>
          <w:bCs/>
          <w:color w:val="153A5B"/>
        </w:rPr>
        <w:t xml:space="preserve">Relational and vector data storage. </w:t>
      </w:r>
      <w:r>
        <w:t xml:space="preserve">Demonstrates structured storage for scans, findings, model versions, reviewer decisions, and searchable literature. </w:t>
      </w:r>
      <w:r>
        <w:rPr>
          <w:b/>
          <w:bCs/>
        </w:rPr>
        <w:t xml:space="preserve">Experience: </w:t>
      </w:r>
      <w:r>
        <w:t xml:space="preserve">Solid with relational databases; less experience with vector search inside the same data layer. </w:t>
      </w:r>
      <w:r>
        <w:rPr>
          <w:b/>
          <w:bCs/>
        </w:rPr>
        <w:t xml:space="preserve">Growth plan: </w:t>
      </w:r>
      <w:r>
        <w:t xml:space="preserve">Create the data model before implementation, review it as a diagram, and validate retrieval against representative questions.</w:t>
      </w:r>
    </w:p>
    <w:p>
      <w:pPr>
        <w:pStyle w:val="BodyText"/>
        <w:numPr>
          <w:ilvl w:val="0"/>
          <w:numId w:val="2"/>
        </w:numPr>
      </w:pPr>
      <w:r>
        <w:rPr>
          <w:b/>
          <w:bCs/>
          <w:color w:val="153A5B"/>
        </w:rPr>
        <w:t xml:space="preserve">Evidence-grounded applied AI. </w:t>
      </w:r>
      <w:r>
        <w:t xml:space="preserve">Demonstrates retrieval of relevant literature, visible source support, and refusal when retrieved material is insufficient. </w:t>
      </w:r>
      <w:r>
        <w:rPr>
          <w:b/>
          <w:bCs/>
        </w:rPr>
        <w:t xml:space="preserve">Experience: </w:t>
      </w:r>
      <w:r>
        <w:t xml:space="preserve">Familiar with retrieval and language-model workflows. </w:t>
      </w:r>
      <w:r>
        <w:rPr>
          <w:b/>
          <w:bCs/>
        </w:rPr>
        <w:t xml:space="preserve">Growth plan: </w:t>
      </w:r>
      <w:r>
        <w:t xml:space="preserve">Focus on measured retrieval quality, grounded responses, and safe system boundaries.</w:t>
      </w:r>
    </w:p>
    <w:p>
      <w:pPr>
        <w:pStyle w:val="BodyText"/>
        <w:numPr>
          <w:ilvl w:val="0"/>
          <w:numId w:val="2"/>
        </w:numPr>
      </w:pPr>
      <w:r>
        <w:rPr>
          <w:b/>
          <w:bCs/>
          <w:color w:val="153A5B"/>
        </w:rPr>
        <w:t xml:space="preserve">Application integration — FastAPI, React, and NiiVue. </w:t>
      </w:r>
      <w:r>
        <w:t xml:space="preserve">Demonstrates a service connecting scan processing to a medical-image viewer, worklist, measurements, and saved review decisions. </w:t>
      </w:r>
      <w:r>
        <w:rPr>
          <w:b/>
          <w:bCs/>
        </w:rPr>
        <w:t xml:space="preserve">Experience: </w:t>
      </w:r>
      <w:r>
        <w:t xml:space="preserve">Strong with FastAPI and React; introductory experience with NiiVue. </w:t>
      </w:r>
      <w:r>
        <w:rPr>
          <w:b/>
          <w:bCs/>
        </w:rPr>
        <w:t xml:space="preserve">Growth plan: </w:t>
      </w:r>
      <w:r>
        <w:t xml:space="preserve">Apply that experience to the capstone interface and refine it through direct stakeholder feedback.</w:t>
      </w:r>
    </w:p>
    <w:p>
      <w:pPr>
        <w:pStyle w:val="BodyText"/>
        <w:numPr>
          <w:ilvl w:val="0"/>
          <w:numId w:val="2"/>
        </w:numPr>
      </w:pPr>
      <w:r>
        <w:rPr>
          <w:b/>
          <w:bCs/>
          <w:color w:val="153A5B"/>
        </w:rPr>
        <w:t xml:space="preserve">MLOps and scalable compute — MLflow, Docker, and local or rented GPU resources. </w:t>
      </w:r>
      <w:r>
        <w:t xml:space="preserve">Demonstrates versioned experiments, reproducible environments, registered models, and scalable training. </w:t>
      </w:r>
      <w:r>
        <w:rPr>
          <w:b/>
          <w:bCs/>
        </w:rPr>
        <w:t xml:space="preserve">Experience: </w:t>
      </w:r>
      <w:r>
        <w:t xml:space="preserve">Strong with experiment tracking and containers; less experience budgeting rented GPU training. </w:t>
      </w:r>
      <w:r>
        <w:rPr>
          <w:b/>
          <w:bCs/>
        </w:rPr>
        <w:t xml:space="preserve">Growth plan: </w:t>
      </w:r>
      <w:r>
        <w:t xml:space="preserve">Benchmark hardware first, set a spending ceiling, record cost per experiment, and stop rental use if the throughput benefit does not justify the expense.</w:t>
      </w:r>
    </w:p>
    <w:p>
      <w:pPr>
        <w:pStyle w:val="BodyText"/>
        <w:numPr>
          <w:ilvl w:val="0"/>
          <w:numId w:val="2"/>
        </w:numPr>
      </w:pPr>
      <w:r>
        <w:rPr>
          <w:b/>
          <w:bCs/>
          <w:color w:val="153A5B"/>
        </w:rPr>
        <w:t xml:space="preserve">Experimental methodology and governance. </w:t>
      </w:r>
      <w:r>
        <w:t xml:space="preserve">Demonstrates controlled comparisons, error analysis, reproducibility, limitation reporting, and human review of proposed contours. </w:t>
      </w:r>
      <w:r>
        <w:rPr>
          <w:b/>
          <w:bCs/>
        </w:rPr>
        <w:t xml:space="preserve">Experience: </w:t>
      </w:r>
      <w:r>
        <w:t xml:space="preserve">Strong after applying these practices in the preceding project. </w:t>
      </w:r>
      <w:r>
        <w:rPr>
          <w:b/>
          <w:bCs/>
        </w:rPr>
        <w:t xml:space="preserve">Growth plan: </w:t>
      </w:r>
      <w:r>
        <w:t xml:space="preserve">Apply the same discipline across model, retrieval, and system evaluation, with no diagnostic claims.</w:t>
      </w:r>
    </w:p>
    <w:p>
      <w:pPr>
        <w:pStyle w:val="Heading1"/>
      </w:pPr>
      <w:r>
        <w:t xml:space="preserve">6. Ten-Week Delivery Plan</w:t>
      </w:r>
    </w:p>
    <w:p>
      <w:pPr>
        <w:pStyle w:val="BodyText"/>
      </w:pPr>
      <w:r>
        <w:t xml:space="preserve">The schedule commits to measurable outcomes while leaving implementation choices open until the evidence needed to make them is 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1510"/>
        <w:gridCol w:w="3300"/>
        <w:gridCol w:w="3000"/>
        <w:gridCol w:w="1750"/>
      </w:tblGrid>
      <w:tr>
        <w:trPr>
          <w:cantSplit/>
          <w:tblHeader/>
        </w:trPr>
        <w:tc>
          <w:tcPr>
            <w:tcW w:type="dxa" w:w="520"/>
            <w:shd w:fill="153A5B" w:color="auto" w:val="clear"/>
            <w:tcMar>
              <w:top w:type="dxa" w:w="100"/>
              <w:left w:type="dxa" w:w="120"/>
              <w:bottom w:type="dxa" w:w="100"/>
              <w:right w:type="dxa" w:w="120"/>
            </w:tcMar>
            <w:vAlign w:val="center"/>
          </w:tcPr>
          <w:p>
            <w:pPr>
              <w:pStyle w:val="TableHeader"/>
            </w:pPr>
            <w:r>
              <w:rPr>
                <w:b/>
                <w:bCs/>
                <w:color w:val="FFFFFF"/>
              </w:rPr>
              <w:t xml:space="preserve">Wk</w:t>
            </w:r>
          </w:p>
        </w:tc>
        <w:tc>
          <w:tcPr>
            <w:tcW w:type="dxa" w:w="1510"/>
            <w:shd w:fill="153A5B" w:color="auto" w:val="clear"/>
            <w:tcMar>
              <w:top w:type="dxa" w:w="100"/>
              <w:left w:type="dxa" w:w="120"/>
              <w:bottom w:type="dxa" w:w="100"/>
              <w:right w:type="dxa" w:w="120"/>
            </w:tcMar>
            <w:vAlign w:val="center"/>
          </w:tcPr>
          <w:p>
            <w:pPr>
              <w:pStyle w:val="TableHeader"/>
            </w:pPr>
            <w:r>
              <w:rPr>
                <w:b/>
                <w:bCs/>
                <w:color w:val="FFFFFF"/>
              </w:rPr>
              <w:t xml:space="preserve">Primary focus</w:t>
            </w:r>
          </w:p>
        </w:tc>
        <w:tc>
          <w:tcPr>
            <w:tcW w:type="dxa" w:w="3300"/>
            <w:shd w:fill="153A5B" w:color="auto" w:val="clear"/>
            <w:tcMar>
              <w:top w:type="dxa" w:w="100"/>
              <w:left w:type="dxa" w:w="120"/>
              <w:bottom w:type="dxa" w:w="100"/>
              <w:right w:type="dxa" w:w="120"/>
            </w:tcMar>
            <w:vAlign w:val="center"/>
          </w:tcPr>
          <w:p>
            <w:pPr>
              <w:pStyle w:val="TableHeader"/>
            </w:pPr>
            <w:r>
              <w:rPr>
                <w:b/>
                <w:bCs/>
                <w:color w:val="FFFFFF"/>
              </w:rPr>
              <w:t xml:space="preserve">Planned work</w:t>
            </w:r>
          </w:p>
        </w:tc>
        <w:tc>
          <w:tcPr>
            <w:tcW w:type="dxa" w:w="3000"/>
            <w:shd w:fill="153A5B" w:color="auto" w:val="clear"/>
            <w:tcMar>
              <w:top w:type="dxa" w:w="100"/>
              <w:left w:type="dxa" w:w="120"/>
              <w:bottom w:type="dxa" w:w="100"/>
              <w:right w:type="dxa" w:w="120"/>
            </w:tcMar>
            <w:vAlign w:val="center"/>
          </w:tcPr>
          <w:p>
            <w:pPr>
              <w:pStyle w:val="TableHeader"/>
            </w:pPr>
            <w:r>
              <w:rPr>
                <w:b/>
                <w:bCs/>
                <w:color w:val="FFFFFF"/>
              </w:rPr>
              <w:t xml:space="preserve">Measurable deliverable</w:t>
            </w:r>
          </w:p>
        </w:tc>
        <w:tc>
          <w:tcPr>
            <w:tcW w:type="dxa" w:w="1750"/>
            <w:shd w:fill="153A5B" w:color="auto" w:val="clear"/>
            <w:tcMar>
              <w:top w:type="dxa" w:w="100"/>
              <w:left w:type="dxa" w:w="120"/>
              <w:bottom w:type="dxa" w:w="100"/>
              <w:right w:type="dxa" w:w="120"/>
            </w:tcMar>
            <w:vAlign w:val="center"/>
          </w:tcPr>
          <w:p>
            <w:pPr>
              <w:pStyle w:val="TableHeader"/>
            </w:pPr>
            <w:r>
              <w:rPr>
                <w:b/>
                <w:bCs/>
                <w:color w:val="FFFFFF"/>
              </w:rPr>
              <w:t xml:space="preserve">Behind-schedule signal</w:t>
            </w:r>
          </w:p>
        </w:tc>
      </w:tr>
      <w:tr>
        <w:trPr>
          <w:cantSplit/>
          <w:tblHeader w:val="false"/>
        </w:trPr>
        <w:tc>
          <w:tcPr>
            <w:tcW w:type="dxa" w:w="520"/>
            <w:tcMar>
              <w:top w:type="dxa" w:w="100"/>
              <w:left w:type="dxa" w:w="120"/>
              <w:bottom w:type="dxa" w:w="100"/>
              <w:right w:type="dxa" w:w="120"/>
            </w:tcMar>
            <w:vAlign w:val="center"/>
          </w:tcPr>
          <w:p>
            <w:pPr>
              <w:pStyle w:val="TableText"/>
            </w:pPr>
            <w:r>
              <w:t xml:space="preserve">1</w:t>
            </w:r>
          </w:p>
        </w:tc>
        <w:tc>
          <w:tcPr>
            <w:tcW w:type="dxa" w:w="1510"/>
            <w:tcMar>
              <w:top w:type="dxa" w:w="100"/>
              <w:left w:type="dxa" w:w="120"/>
              <w:bottom w:type="dxa" w:w="100"/>
              <w:right w:type="dxa" w:w="120"/>
            </w:tcMar>
            <w:vAlign w:val="center"/>
          </w:tcPr>
          <w:p>
            <w:pPr>
              <w:pStyle w:val="TableText"/>
            </w:pPr>
            <w:r>
              <w:t xml:space="preserve">Data design</w:t>
            </w:r>
          </w:p>
        </w:tc>
        <w:tc>
          <w:tcPr>
            <w:tcW w:type="dxa" w:w="3300"/>
            <w:tcMar>
              <w:top w:type="dxa" w:w="100"/>
              <w:left w:type="dxa" w:w="120"/>
              <w:bottom w:type="dxa" w:w="100"/>
              <w:right w:type="dxa" w:w="120"/>
            </w:tcMar>
            <w:vAlign w:val="center"/>
          </w:tcPr>
          <w:p>
            <w:pPr>
              <w:pStyle w:val="TableText"/>
            </w:pPr>
            <w:r>
              <w:t xml:space="preserve">Confirm the data model, storage plan, validation rules, and compute approach before implementation.</w:t>
            </w:r>
          </w:p>
        </w:tc>
        <w:tc>
          <w:tcPr>
            <w:tcW w:type="dxa" w:w="3000"/>
            <w:tcMar>
              <w:top w:type="dxa" w:w="100"/>
              <w:left w:type="dxa" w:w="120"/>
              <w:bottom w:type="dxa" w:w="100"/>
              <w:right w:type="dxa" w:w="120"/>
            </w:tcMar>
            <w:vAlign w:val="center"/>
          </w:tcPr>
          <w:p>
            <w:pPr>
              <w:pStyle w:val="TableText"/>
            </w:pPr>
            <w:r>
              <w:t xml:space="preserve">Approved data design and validation checklist.</w:t>
            </w:r>
          </w:p>
        </w:tc>
        <w:tc>
          <w:tcPr>
            <w:tcW w:type="dxa" w:w="1750"/>
            <w:tcMar>
              <w:top w:type="dxa" w:w="100"/>
              <w:left w:type="dxa" w:w="120"/>
              <w:bottom w:type="dxa" w:w="100"/>
              <w:right w:type="dxa" w:w="120"/>
            </w:tcMar>
            <w:vAlign w:val="center"/>
          </w:tcPr>
          <w:p>
            <w:pPr>
              <w:pStyle w:val="TableText"/>
            </w:pPr>
            <w:r>
              <w:t xml:space="preserve">Core data rules or storage decisions remain unresolved.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2</w:t>
            </w:r>
          </w:p>
        </w:tc>
        <w:tc>
          <w:tcPr>
            <w:tcW w:type="dxa" w:w="1510"/>
            <w:shd w:fill="F4F6F8" w:color="auto" w:val="clear"/>
            <w:tcMar>
              <w:top w:type="dxa" w:w="100"/>
              <w:left w:type="dxa" w:w="120"/>
              <w:bottom w:type="dxa" w:w="100"/>
              <w:right w:type="dxa" w:w="120"/>
            </w:tcMar>
            <w:vAlign w:val="center"/>
          </w:tcPr>
          <w:p>
            <w:pPr>
              <w:pStyle w:val="TableText"/>
            </w:pPr>
            <w:r>
              <w:t xml:space="preserve">Protected data splits</w:t>
            </w:r>
          </w:p>
        </w:tc>
        <w:tc>
          <w:tcPr>
            <w:tcW w:type="dxa" w:w="3300"/>
            <w:shd w:fill="F4F6F8" w:color="auto" w:val="clear"/>
            <w:tcMar>
              <w:top w:type="dxa" w:w="100"/>
              <w:left w:type="dxa" w:w="120"/>
              <w:bottom w:type="dxa" w:w="100"/>
              <w:right w:type="dxa" w:w="120"/>
            </w:tcMar>
            <w:vAlign w:val="center"/>
          </w:tcPr>
          <w:p>
            <w:pPr>
              <w:pStyle w:val="TableText"/>
            </w:pPr>
            <w:r>
              <w:t xml:space="preserve">Move training, validation, and test membership into a controlled data layer. Ensure that every patient appears in only one group.</w:t>
            </w:r>
          </w:p>
        </w:tc>
        <w:tc>
          <w:tcPr>
            <w:tcW w:type="dxa" w:w="3000"/>
            <w:shd w:fill="F4F6F8" w:color="auto" w:val="clear"/>
            <w:tcMar>
              <w:top w:type="dxa" w:w="100"/>
              <w:left w:type="dxa" w:w="120"/>
              <w:bottom w:type="dxa" w:w="100"/>
              <w:right w:type="dxa" w:w="120"/>
            </w:tcMar>
            <w:vAlign w:val="center"/>
          </w:tcPr>
          <w:p>
            <w:pPr>
              <w:pStyle w:val="TableText"/>
            </w:pPr>
            <w:r>
              <w:t xml:space="preserve">Existing splits reproduced and automated checks prevent patient overlap.</w:t>
            </w:r>
          </w:p>
        </w:tc>
        <w:tc>
          <w:tcPr>
            <w:tcW w:type="dxa" w:w="1750"/>
            <w:shd w:fill="F4F6F8" w:color="auto" w:val="clear"/>
            <w:tcMar>
              <w:top w:type="dxa" w:w="100"/>
              <w:left w:type="dxa" w:w="120"/>
              <w:bottom w:type="dxa" w:w="100"/>
              <w:right w:type="dxa" w:w="120"/>
            </w:tcMar>
            <w:vAlign w:val="center"/>
          </w:tcPr>
          <w:p>
            <w:pPr>
              <w:pStyle w:val="TableText"/>
            </w:pPr>
            <w:r>
              <w:t xml:space="preserve">Any patient can appear in both training and evaluation data.</w:t>
            </w:r>
          </w:p>
        </w:tc>
      </w:tr>
      <w:tr>
        <w:trPr>
          <w:cantSplit/>
          <w:tblHeader w:val="false"/>
        </w:trPr>
        <w:tc>
          <w:tcPr>
            <w:tcW w:type="dxa" w:w="520"/>
            <w:tcMar>
              <w:top w:type="dxa" w:w="100"/>
              <w:left w:type="dxa" w:w="120"/>
              <w:bottom w:type="dxa" w:w="100"/>
              <w:right w:type="dxa" w:w="120"/>
            </w:tcMar>
            <w:vAlign w:val="center"/>
          </w:tcPr>
          <w:p>
            <w:pPr>
              <w:pStyle w:val="TableText"/>
            </w:pPr>
            <w:r>
              <w:t xml:space="preserve">3</w:t>
            </w:r>
          </w:p>
        </w:tc>
        <w:tc>
          <w:tcPr>
            <w:tcW w:type="dxa" w:w="1510"/>
            <w:tcMar>
              <w:top w:type="dxa" w:w="100"/>
              <w:left w:type="dxa" w:w="120"/>
              <w:bottom w:type="dxa" w:w="100"/>
              <w:right w:type="dxa" w:w="120"/>
            </w:tcMar>
            <w:vAlign w:val="center"/>
          </w:tcPr>
          <w:p>
            <w:pPr>
              <w:pStyle w:val="TableText"/>
            </w:pPr>
            <w:r>
              <w:t xml:space="preserve">Second imaging source</w:t>
            </w:r>
          </w:p>
        </w:tc>
        <w:tc>
          <w:tcPr>
            <w:tcW w:type="dxa" w:w="3300"/>
            <w:tcMar>
              <w:top w:type="dxa" w:w="100"/>
              <w:left w:type="dxa" w:w="120"/>
              <w:bottom w:type="dxa" w:w="100"/>
              <w:right w:type="dxa" w:w="120"/>
            </w:tcMar>
            <w:vAlign w:val="center"/>
          </w:tcPr>
          <w:p>
            <w:pPr>
              <w:pStyle w:val="TableText"/>
            </w:pPr>
            <w:r>
              <w:t xml:space="preserve">Ingest the additional imaging source, reconcile labels and identifiers, and record annotation quality and origin.</w:t>
            </w:r>
          </w:p>
        </w:tc>
        <w:tc>
          <w:tcPr>
            <w:tcW w:type="dxa" w:w="3000"/>
            <w:tcMar>
              <w:top w:type="dxa" w:w="100"/>
              <w:left w:type="dxa" w:w="120"/>
              <w:bottom w:type="dxa" w:w="100"/>
              <w:right w:type="dxa" w:w="120"/>
            </w:tcMar>
            <w:vAlign w:val="center"/>
          </w:tcPr>
          <w:p>
            <w:pPr>
              <w:pStyle w:val="TableText"/>
            </w:pPr>
            <w:r>
              <w:t xml:space="preserve">Validated source integration with documented exclusions and duplicate checks.</w:t>
            </w:r>
          </w:p>
        </w:tc>
        <w:tc>
          <w:tcPr>
            <w:tcW w:type="dxa" w:w="1750"/>
            <w:tcMar>
              <w:top w:type="dxa" w:w="100"/>
              <w:left w:type="dxa" w:w="120"/>
              <w:bottom w:type="dxa" w:w="100"/>
              <w:right w:type="dxa" w:w="120"/>
            </w:tcMar>
            <w:vAlign w:val="center"/>
          </w:tcPr>
          <w:p>
            <w:pPr>
              <w:pStyle w:val="TableText"/>
            </w:pPr>
            <w:r>
              <w:t xml:space="preserve">Source differences cannot yet be explained or tested.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4</w:t>
            </w:r>
          </w:p>
        </w:tc>
        <w:tc>
          <w:tcPr>
            <w:tcW w:type="dxa" w:w="1510"/>
            <w:shd w:fill="F4F6F8" w:color="auto" w:val="clear"/>
            <w:tcMar>
              <w:top w:type="dxa" w:w="100"/>
              <w:left w:type="dxa" w:w="120"/>
              <w:bottom w:type="dxa" w:w="100"/>
              <w:right w:type="dxa" w:w="120"/>
            </w:tcMar>
            <w:vAlign w:val="center"/>
          </w:tcPr>
          <w:p>
            <w:pPr>
              <w:pStyle w:val="TableText"/>
            </w:pPr>
            <w:r>
              <w:t xml:space="preserve">Unified training data</w:t>
            </w:r>
          </w:p>
        </w:tc>
        <w:tc>
          <w:tcPr>
            <w:tcW w:type="dxa" w:w="3300"/>
            <w:shd w:fill="F4F6F8" w:color="auto" w:val="clear"/>
            <w:tcMar>
              <w:top w:type="dxa" w:w="100"/>
              <w:left w:type="dxa" w:w="120"/>
              <w:bottom w:type="dxa" w:w="100"/>
              <w:right w:type="dxa" w:w="120"/>
            </w:tcMar>
            <w:vAlign w:val="center"/>
          </w:tcPr>
          <w:p>
            <w:pPr>
              <w:pStyle w:val="TableText"/>
            </w:pPr>
            <w:r>
              <w:t xml:space="preserve">Complete preprocessing, validation, and efficient access to the combined training data.</w:t>
            </w:r>
          </w:p>
        </w:tc>
        <w:tc>
          <w:tcPr>
            <w:tcW w:type="dxa" w:w="3000"/>
            <w:shd w:fill="F4F6F8" w:color="auto" w:val="clear"/>
            <w:tcMar>
              <w:top w:type="dxa" w:w="100"/>
              <w:left w:type="dxa" w:w="120"/>
              <w:bottom w:type="dxa" w:w="100"/>
              <w:right w:type="dxa" w:w="120"/>
            </w:tcMar>
            <w:vAlign w:val="center"/>
          </w:tcPr>
          <w:p>
            <w:pPr>
              <w:pStyle w:val="TableText"/>
            </w:pPr>
            <w:r>
              <w:t xml:space="preserve">Reproducible training input with source and label history preserved.</w:t>
            </w:r>
          </w:p>
        </w:tc>
        <w:tc>
          <w:tcPr>
            <w:tcW w:type="dxa" w:w="1750"/>
            <w:shd w:fill="F4F6F8" w:color="auto" w:val="clear"/>
            <w:tcMar>
              <w:top w:type="dxa" w:w="100"/>
              <w:left w:type="dxa" w:w="120"/>
              <w:bottom w:type="dxa" w:w="100"/>
              <w:right w:type="dxa" w:w="120"/>
            </w:tcMar>
            <w:vAlign w:val="center"/>
          </w:tcPr>
          <w:p>
            <w:pPr>
              <w:pStyle w:val="TableText"/>
            </w:pPr>
            <w:r>
              <w:t xml:space="preserve">Training data cannot be reproduced from the recorded configuration.</w:t>
            </w:r>
          </w:p>
        </w:tc>
      </w:tr>
      <w:tr>
        <w:trPr>
          <w:cantSplit/>
          <w:tblHeader w:val="false"/>
        </w:trPr>
        <w:tc>
          <w:tcPr>
            <w:tcW w:type="dxa" w:w="520"/>
            <w:tcMar>
              <w:top w:type="dxa" w:w="100"/>
              <w:left w:type="dxa" w:w="120"/>
              <w:bottom w:type="dxa" w:w="100"/>
              <w:right w:type="dxa" w:w="120"/>
            </w:tcMar>
            <w:vAlign w:val="center"/>
          </w:tcPr>
          <w:p>
            <w:pPr>
              <w:pStyle w:val="TableText"/>
            </w:pPr>
            <w:r>
              <w:t xml:space="preserve">5</w:t>
            </w:r>
          </w:p>
        </w:tc>
        <w:tc>
          <w:tcPr>
            <w:tcW w:type="dxa" w:w="1510"/>
            <w:tcMar>
              <w:top w:type="dxa" w:w="100"/>
              <w:left w:type="dxa" w:w="120"/>
              <w:bottom w:type="dxa" w:w="100"/>
              <w:right w:type="dxa" w:w="120"/>
            </w:tcMar>
            <w:vAlign w:val="center"/>
          </w:tcPr>
          <w:p>
            <w:pPr>
              <w:pStyle w:val="TableText"/>
            </w:pPr>
            <w:r>
              <w:t xml:space="preserve">Autonomous baseline</w:t>
            </w:r>
          </w:p>
        </w:tc>
        <w:tc>
          <w:tcPr>
            <w:tcW w:type="dxa" w:w="3300"/>
            <w:tcMar>
              <w:top w:type="dxa" w:w="100"/>
              <w:left w:type="dxa" w:w="120"/>
              <w:bottom w:type="dxa" w:w="100"/>
              <w:right w:type="dxa" w:w="120"/>
            </w:tcMar>
            <w:vAlign w:val="center"/>
          </w:tcPr>
          <w:p>
            <w:pPr>
              <w:pStyle w:val="TableText"/>
            </w:pPr>
            <w:r>
              <w:t xml:space="preserve">Train and evaluate new models for pancreas localization and the full localization-to-segmentation path without a provided region.</w:t>
            </w:r>
          </w:p>
        </w:tc>
        <w:tc>
          <w:tcPr>
            <w:tcW w:type="dxa" w:w="3000"/>
            <w:tcMar>
              <w:top w:type="dxa" w:w="100"/>
              <w:left w:type="dxa" w:w="120"/>
              <w:bottom w:type="dxa" w:w="100"/>
              <w:right w:type="dxa" w:w="120"/>
            </w:tcMar>
            <w:vAlign w:val="center"/>
          </w:tcPr>
          <w:p>
            <w:pPr>
              <w:pStyle w:val="TableText"/>
            </w:pPr>
            <w:r>
              <w:t xml:space="preserve">First held-out autonomous baseline and error analysis.</w:t>
            </w:r>
          </w:p>
        </w:tc>
        <w:tc>
          <w:tcPr>
            <w:tcW w:type="dxa" w:w="1750"/>
            <w:tcMar>
              <w:top w:type="dxa" w:w="100"/>
              <w:left w:type="dxa" w:w="120"/>
              <w:bottom w:type="dxa" w:w="100"/>
              <w:right w:type="dxa" w:w="120"/>
            </w:tcMar>
            <w:vAlign w:val="center"/>
          </w:tcPr>
          <w:p>
            <w:pPr>
              <w:pStyle w:val="TableText"/>
            </w:pPr>
            <w:r>
              <w:t xml:space="preserve">The new pipeline cannot be evaluated end to end.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6</w:t>
            </w:r>
          </w:p>
        </w:tc>
        <w:tc>
          <w:tcPr>
            <w:tcW w:type="dxa" w:w="1510"/>
            <w:shd w:fill="F4F6F8" w:color="auto" w:val="clear"/>
            <w:tcMar>
              <w:top w:type="dxa" w:w="100"/>
              <w:left w:type="dxa" w:w="120"/>
              <w:bottom w:type="dxa" w:w="100"/>
              <w:right w:type="dxa" w:w="120"/>
            </w:tcMar>
            <w:vAlign w:val="center"/>
          </w:tcPr>
          <w:p>
            <w:pPr>
              <w:pStyle w:val="TableText"/>
            </w:pPr>
            <w:r>
              <w:t xml:space="preserve">Model experimentation</w:t>
            </w:r>
          </w:p>
        </w:tc>
        <w:tc>
          <w:tcPr>
            <w:tcW w:type="dxa" w:w="3300"/>
            <w:shd w:fill="F4F6F8" w:color="auto" w:val="clear"/>
            <w:tcMar>
              <w:top w:type="dxa" w:w="100"/>
              <w:left w:type="dxa" w:w="120"/>
              <w:bottom w:type="dxa" w:w="100"/>
              <w:right w:type="dxa" w:w="120"/>
            </w:tcMar>
            <w:vAlign w:val="center"/>
          </w:tcPr>
          <w:p>
            <w:pPr>
              <w:pStyle w:val="TableText"/>
            </w:pPr>
            <w:r>
              <w:t xml:space="preserve">Select the highest-value experiment from the baseline error analysis and compare it fairly with the fixed baseline.</w:t>
            </w:r>
          </w:p>
        </w:tc>
        <w:tc>
          <w:tcPr>
            <w:tcW w:type="dxa" w:w="3000"/>
            <w:shd w:fill="F4F6F8" w:color="auto" w:val="clear"/>
            <w:tcMar>
              <w:top w:type="dxa" w:w="100"/>
              <w:left w:type="dxa" w:w="120"/>
              <w:bottom w:type="dxa" w:w="100"/>
              <w:right w:type="dxa" w:w="120"/>
            </w:tcMar>
            <w:vAlign w:val="center"/>
          </w:tcPr>
          <w:p>
            <w:pPr>
              <w:pStyle w:val="TableText"/>
            </w:pPr>
            <w:r>
              <w:t xml:space="preserve">At least one controlled comparison with a documented result and decision.</w:t>
            </w:r>
          </w:p>
        </w:tc>
        <w:tc>
          <w:tcPr>
            <w:tcW w:type="dxa" w:w="1750"/>
            <w:shd w:fill="F4F6F8" w:color="auto" w:val="clear"/>
            <w:tcMar>
              <w:top w:type="dxa" w:w="100"/>
              <w:left w:type="dxa" w:w="120"/>
              <w:bottom w:type="dxa" w:w="100"/>
              <w:right w:type="dxa" w:w="120"/>
            </w:tcMar>
            <w:vAlign w:val="center"/>
          </w:tcPr>
          <w:p>
            <w:pPr>
              <w:pStyle w:val="TableText"/>
            </w:pPr>
            <w:r>
              <w:t xml:space="preserve">No result can be compared directly with the baseline.</w:t>
            </w:r>
          </w:p>
        </w:tc>
      </w:tr>
      <w:tr>
        <w:trPr>
          <w:cantSplit/>
          <w:tblHeader w:val="false"/>
        </w:trPr>
        <w:tc>
          <w:tcPr>
            <w:tcW w:type="dxa" w:w="520"/>
            <w:tcMar>
              <w:top w:type="dxa" w:w="100"/>
              <w:left w:type="dxa" w:w="120"/>
              <w:bottom w:type="dxa" w:w="100"/>
              <w:right w:type="dxa" w:w="120"/>
            </w:tcMar>
            <w:vAlign w:val="center"/>
          </w:tcPr>
          <w:p>
            <w:pPr>
              <w:pStyle w:val="TableText"/>
            </w:pPr>
            <w:r>
              <w:t xml:space="preserve">7</w:t>
            </w:r>
          </w:p>
        </w:tc>
        <w:tc>
          <w:tcPr>
            <w:tcW w:type="dxa" w:w="1510"/>
            <w:tcMar>
              <w:top w:type="dxa" w:w="100"/>
              <w:left w:type="dxa" w:w="120"/>
              <w:bottom w:type="dxa" w:w="100"/>
              <w:right w:type="dxa" w:w="120"/>
            </w:tcMar>
            <w:vAlign w:val="center"/>
          </w:tcPr>
          <w:p>
            <w:pPr>
              <w:pStyle w:val="TableText"/>
            </w:pPr>
            <w:r>
              <w:t xml:space="preserve">False-alarm tradeoff</w:t>
            </w:r>
          </w:p>
        </w:tc>
        <w:tc>
          <w:tcPr>
            <w:tcW w:type="dxa" w:w="3300"/>
            <w:tcMar>
              <w:top w:type="dxa" w:w="100"/>
              <w:left w:type="dxa" w:w="120"/>
              <w:bottom w:type="dxa" w:w="100"/>
              <w:right w:type="dxa" w:w="120"/>
            </w:tcMar>
            <w:vAlign w:val="center"/>
          </w:tcPr>
          <w:p>
            <w:pPr>
              <w:pStyle w:val="TableText"/>
            </w:pPr>
            <w:r>
              <w:t xml:space="preserve">Evaluate how decision thresholds balance detected tumors against false alarms; hold the stakeholder review session.</w:t>
            </w:r>
          </w:p>
        </w:tc>
        <w:tc>
          <w:tcPr>
            <w:tcW w:type="dxa" w:w="3000"/>
            <w:tcMar>
              <w:top w:type="dxa" w:w="100"/>
              <w:left w:type="dxa" w:w="120"/>
              <w:bottom w:type="dxa" w:w="100"/>
              <w:right w:type="dxa" w:w="120"/>
            </w:tcMar>
            <w:vAlign w:val="center"/>
          </w:tcPr>
          <w:p>
            <w:pPr>
              <w:pStyle w:val="TableText"/>
            </w:pPr>
            <w:r>
              <w:t xml:space="preserve">Patient-level tradeoff results and documented stakeholder feedback.</w:t>
            </w:r>
          </w:p>
        </w:tc>
        <w:tc>
          <w:tcPr>
            <w:tcW w:type="dxa" w:w="1750"/>
            <w:tcMar>
              <w:top w:type="dxa" w:w="100"/>
              <w:left w:type="dxa" w:w="120"/>
              <w:bottom w:type="dxa" w:w="100"/>
              <w:right w:type="dxa" w:w="120"/>
            </w:tcMar>
            <w:vAlign w:val="center"/>
          </w:tcPr>
          <w:p>
            <w:pPr>
              <w:pStyle w:val="TableText"/>
            </w:pPr>
            <w:r>
              <w:t xml:space="preserve">No usable comparison or stakeholder feedback is available.</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8</w:t>
            </w:r>
          </w:p>
        </w:tc>
        <w:tc>
          <w:tcPr>
            <w:tcW w:type="dxa" w:w="1510"/>
            <w:shd w:fill="F4F6F8" w:color="auto" w:val="clear"/>
            <w:tcMar>
              <w:top w:type="dxa" w:w="100"/>
              <w:left w:type="dxa" w:w="120"/>
              <w:bottom w:type="dxa" w:w="100"/>
              <w:right w:type="dxa" w:w="120"/>
            </w:tcMar>
            <w:vAlign w:val="center"/>
          </w:tcPr>
          <w:p>
            <w:pPr>
              <w:pStyle w:val="TableText"/>
            </w:pPr>
            <w:r>
              <w:t xml:space="preserve">Knowledge retrieval</w:t>
            </w:r>
          </w:p>
        </w:tc>
        <w:tc>
          <w:tcPr>
            <w:tcW w:type="dxa" w:w="3300"/>
            <w:shd w:fill="F4F6F8" w:color="auto" w:val="clear"/>
            <w:tcMar>
              <w:top w:type="dxa" w:w="100"/>
              <w:left w:type="dxa" w:w="120"/>
              <w:bottom w:type="dxa" w:w="100"/>
              <w:right w:type="dxa" w:w="120"/>
            </w:tcMar>
            <w:vAlign w:val="center"/>
          </w:tcPr>
          <w:p>
            <w:pPr>
              <w:pStyle w:val="TableText"/>
            </w:pPr>
            <w:r>
              <w:t xml:space="preserve">Build the literature index and test whether relevant source passages are retrieved for representative questions.</w:t>
            </w:r>
          </w:p>
        </w:tc>
        <w:tc>
          <w:tcPr>
            <w:tcW w:type="dxa" w:w="3000"/>
            <w:shd w:fill="F4F6F8" w:color="auto" w:val="clear"/>
            <w:tcMar>
              <w:top w:type="dxa" w:w="100"/>
              <w:left w:type="dxa" w:w="120"/>
              <w:bottom w:type="dxa" w:w="100"/>
              <w:right w:type="dxa" w:w="120"/>
            </w:tcMar>
            <w:vAlign w:val="center"/>
          </w:tcPr>
          <w:p>
            <w:pPr>
              <w:pStyle w:val="TableText"/>
            </w:pPr>
            <w:r>
              <w:t xml:space="preserve">Queryable literature source with measured retrieval quality.</w:t>
            </w:r>
          </w:p>
        </w:tc>
        <w:tc>
          <w:tcPr>
            <w:tcW w:type="dxa" w:w="1750"/>
            <w:shd w:fill="F4F6F8" w:color="auto" w:val="clear"/>
            <w:tcMar>
              <w:top w:type="dxa" w:w="100"/>
              <w:left w:type="dxa" w:w="120"/>
              <w:bottom w:type="dxa" w:w="100"/>
              <w:right w:type="dxa" w:w="120"/>
            </w:tcMar>
            <w:vAlign w:val="center"/>
          </w:tcPr>
          <w:p>
            <w:pPr>
              <w:pStyle w:val="TableText"/>
            </w:pPr>
            <w:r>
              <w:t xml:space="preserve">The system cannot reliably retrieve supporting passages.</w:t>
            </w:r>
          </w:p>
        </w:tc>
      </w:tr>
      <w:tr>
        <w:trPr>
          <w:cantSplit/>
          <w:tblHeader w:val="false"/>
        </w:trPr>
        <w:tc>
          <w:tcPr>
            <w:tcW w:type="dxa" w:w="520"/>
            <w:tcMar>
              <w:top w:type="dxa" w:w="100"/>
              <w:left w:type="dxa" w:w="120"/>
              <w:bottom w:type="dxa" w:w="100"/>
              <w:right w:type="dxa" w:w="120"/>
            </w:tcMar>
            <w:vAlign w:val="center"/>
          </w:tcPr>
          <w:p>
            <w:pPr>
              <w:pStyle w:val="TableText"/>
            </w:pPr>
            <w:r>
              <w:t xml:space="preserve">9</w:t>
            </w:r>
          </w:p>
        </w:tc>
        <w:tc>
          <w:tcPr>
            <w:tcW w:type="dxa" w:w="1510"/>
            <w:tcMar>
              <w:top w:type="dxa" w:w="100"/>
              <w:left w:type="dxa" w:w="120"/>
              <w:bottom w:type="dxa" w:w="100"/>
              <w:right w:type="dxa" w:w="120"/>
            </w:tcMar>
            <w:vAlign w:val="center"/>
          </w:tcPr>
          <w:p>
            <w:pPr>
              <w:pStyle w:val="TableText"/>
            </w:pPr>
            <w:r>
              <w:t xml:space="preserve">System integration</w:t>
            </w:r>
          </w:p>
        </w:tc>
        <w:tc>
          <w:tcPr>
            <w:tcW w:type="dxa" w:w="3300"/>
            <w:tcMar>
              <w:top w:type="dxa" w:w="100"/>
              <w:left w:type="dxa" w:w="120"/>
              <w:bottom w:type="dxa" w:w="100"/>
              <w:right w:type="dxa" w:w="120"/>
            </w:tcMar>
            <w:vAlign w:val="center"/>
          </w:tcPr>
          <w:p>
            <w:pPr>
              <w:pStyle w:val="TableText"/>
            </w:pPr>
            <w:r>
              <w:t xml:space="preserve">Connect scan processing, measurements, review, stored decisions, and the evidence-grounded assistant.</w:t>
            </w:r>
          </w:p>
        </w:tc>
        <w:tc>
          <w:tcPr>
            <w:tcW w:type="dxa" w:w="3000"/>
            <w:tcMar>
              <w:top w:type="dxa" w:w="100"/>
              <w:left w:type="dxa" w:w="120"/>
              <w:bottom w:type="dxa" w:w="100"/>
              <w:right w:type="dxa" w:w="120"/>
            </w:tcMar>
            <w:vAlign w:val="center"/>
          </w:tcPr>
          <w:p>
            <w:pPr>
              <w:pStyle w:val="TableText"/>
            </w:pPr>
            <w:r>
              <w:t xml:space="preserve">End-to-end demonstration from scan arrival to recorded review decision.</w:t>
            </w:r>
          </w:p>
        </w:tc>
        <w:tc>
          <w:tcPr>
            <w:tcW w:type="dxa" w:w="1750"/>
            <w:tcMar>
              <w:top w:type="dxa" w:w="100"/>
              <w:left w:type="dxa" w:w="120"/>
              <w:bottom w:type="dxa" w:w="100"/>
              <w:right w:type="dxa" w:w="120"/>
            </w:tcMar>
            <w:vAlign w:val="center"/>
          </w:tcPr>
          <w:p>
            <w:pPr>
              <w:pStyle w:val="TableText"/>
            </w:pPr>
            <w:r>
              <w:t xml:space="preserve">Major components still require separate manual operation.</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10</w:t>
            </w:r>
          </w:p>
        </w:tc>
        <w:tc>
          <w:tcPr>
            <w:tcW w:type="dxa" w:w="1510"/>
            <w:shd w:fill="F4F6F8" w:color="auto" w:val="clear"/>
            <w:tcMar>
              <w:top w:type="dxa" w:w="100"/>
              <w:left w:type="dxa" w:w="120"/>
              <w:bottom w:type="dxa" w:w="100"/>
              <w:right w:type="dxa" w:w="120"/>
            </w:tcMar>
            <w:vAlign w:val="center"/>
          </w:tcPr>
          <w:p>
            <w:pPr>
              <w:pStyle w:val="TableText"/>
            </w:pPr>
            <w:r>
              <w:t xml:space="preserve">Evaluation and delivery</w:t>
            </w:r>
          </w:p>
        </w:tc>
        <w:tc>
          <w:tcPr>
            <w:tcW w:type="dxa" w:w="3300"/>
            <w:shd w:fill="F4F6F8" w:color="auto" w:val="clear"/>
            <w:tcMar>
              <w:top w:type="dxa" w:w="100"/>
              <w:left w:type="dxa" w:w="120"/>
              <w:bottom w:type="dxa" w:w="100"/>
              <w:right w:type="dxa" w:w="120"/>
            </w:tcMar>
            <w:vAlign w:val="center"/>
          </w:tcPr>
          <w:p>
            <w:pPr>
              <w:pStyle w:val="TableText"/>
            </w:pPr>
            <w:r>
              <w:t xml:space="preserve">Run the held-out evaluation, complete documentation, and prepare the demonstration and presentation.</w:t>
            </w:r>
          </w:p>
        </w:tc>
        <w:tc>
          <w:tcPr>
            <w:tcW w:type="dxa" w:w="3000"/>
            <w:shd w:fill="F4F6F8" w:color="auto" w:val="clear"/>
            <w:tcMar>
              <w:top w:type="dxa" w:w="100"/>
              <w:left w:type="dxa" w:w="120"/>
              <w:bottom w:type="dxa" w:w="100"/>
              <w:right w:type="dxa" w:w="120"/>
            </w:tcMar>
            <w:vAlign w:val="center"/>
          </w:tcPr>
          <w:p>
            <w:pPr>
              <w:pStyle w:val="TableText"/>
            </w:pPr>
            <w:r>
              <w:t xml:space="preserve">Metrics, limitations, model card, user guidance, and presentation materials.</w:t>
            </w:r>
          </w:p>
        </w:tc>
        <w:tc>
          <w:tcPr>
            <w:tcW w:type="dxa" w:w="1750"/>
            <w:shd w:fill="F4F6F8" w:color="auto" w:val="clear"/>
            <w:tcMar>
              <w:top w:type="dxa" w:w="100"/>
              <w:left w:type="dxa" w:w="120"/>
              <w:bottom w:type="dxa" w:w="100"/>
              <w:right w:type="dxa" w:w="120"/>
            </w:tcMar>
            <w:vAlign w:val="center"/>
          </w:tcPr>
          <w:p>
            <w:pPr>
              <w:pStyle w:val="TableText"/>
            </w:pPr>
            <w:r>
              <w:t xml:space="preserve">Evaluation or documentation remains incomplete.</w:t>
            </w:r>
          </w:p>
        </w:tc>
      </w:tr>
    </w:tbl>
    <w:p>
      <w:pPr>
        <w:pStyle w:val="Heading2"/>
      </w:pPr>
      <w:r>
        <w:t xml:space="preserve">Scope control and stakeholder review</w:t>
      </w:r>
    </w:p>
    <w:p>
      <w:pPr>
        <w:pStyle w:val="BodyText"/>
      </w:pPr>
      <w:r>
        <w:t xml:space="preserve">The committed scope is the autonomous imaging pipeline, validated multi-source data layer, controlled model experimentation, patient-level evaluation, recorded review workflow, evidence-grounded literature retrieval, and professional documentation. Optional work begins only after those capabilities are functioning.</w:t>
      </w:r>
    </w:p>
    <w:p>
      <w:pPr>
        <w:pStyle w:val="BodyText"/>
      </w:pPr>
      <w:r>
        <w:rPr>
          <w:b/>
          <w:bCs/>
          <w:color w:val="153A5B"/>
        </w:rPr>
        <w:t xml:space="preserve">Optional extensions. </w:t>
      </w:r>
      <w:r>
        <w:t xml:space="preserve">Additional model experimentation, expanded literature sources, richer report support, and outside evaluation may strengthen the project if time and evidence justify them. They are not required for the core system to count as complete, and none is presented as a guaranteed improvement.</w:t>
      </w:r>
    </w:p>
    <w:p>
      <w:pPr>
        <w:pStyle w:val="BodyText"/>
      </w:pPr>
      <w:r>
        <w:rPr>
          <w:b/>
          <w:bCs/>
          <w:color w:val="153A5B"/>
        </w:rPr>
        <w:t xml:space="preserve">Stakeholder plan. </w:t>
      </w:r>
      <w:r>
        <w:t xml:space="preserve">A diagnostic care coordinator has confirmed availability for the week 7 review session so feedback can shape the remaining work. A practicing radiologist is being arranged as the primary reviewer. If that is not available, the confirmed coordinator provides a real clinical-workflow perspective while the limitation is disclosed.</w:t>
      </w:r>
    </w:p>
    <w:p>
      <w:pPr>
        <w:pStyle w:val="Heading1"/>
      </w:pPr>
      <w:r>
        <w:t xml:space="preserve">7. Professional Growth and Readiness</w:t>
      </w:r>
    </w:p>
    <w:p>
      <w:pPr>
        <w:pStyle w:val="BodyText"/>
      </w:pPr>
      <w:r>
        <w:t xml:space="preserve">The capstone challenges me beyond the preceding project in several ways. I must deepen my medical-imaging knowledge, work with multiple large data sources, design reliable data controls, remove a human-provided region from the model workflow, train new models, and connect modeling, retrieval, persistence, automation, and user review into one coherent system. The challenge is not merely writing more code. It is deciding which evidence matters, resisting attractive but unsupported conclusions, and making technical choices that remain understandable to a reviewer.</w:t>
      </w:r>
    </w:p>
    <w:p>
      <w:pPr>
        <w:pStyle w:val="BodyText"/>
      </w:pPr>
      <w:r>
        <w:t xml:space="preserve">The most important professional growth will come from managing uncertainty. Model experimentation does not guarantee improvement, and the autonomous system may perform worse than the provided-region reference. My responsibility is to design fair comparisons, adapt the next experiment to the measured failure mode, control time and compute costs, and report the result honestly. Completing that process at this scale will strengthen me as both an AI practitioner and a technical decision-maker.</w:t>
      </w:r>
    </w:p>
    <w:sectPr>
      <w:footerReference w:type="default" r:id="rId7"/>
      <w:footerReference w:type="first" r:id="rId8"/>
      <w:pgSz w:w="12240" w:h="15840" w:orient="portrait"/>
      <w:pgMar w:top="1080" w:right="1080" w:bottom="1080" w:left="1080" w:header="540" w:footer="540"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A74"/>
        <w:sz w:val="17"/>
        <w:szCs w:val="17"/>
      </w:rPr>
      <w:t xml:space="preserve">Quinton Evans  |  Capstone Proposal  |  </w:t>
    </w:r>
    <w:r>
      <w:rPr>
        <w:color w:val="5D6A7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Aptos" w:cs="Aptos" w:eastAsia="Aptos" w:hAnsi="Aptos"/>
        <w:color w:val="147D7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13D"/>
        <w:sz w:val="21"/>
        <w:szCs w:val="21"/>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30" w:line="276"/>
    </w:pPr>
    <w:rPr>
      <w:rFonts w:ascii="Aptos" w:cs="Aptos" w:eastAsia="Aptos" w:hAnsi="Aptos"/>
      <w:color w:val="24313D"/>
      <w:sz w:val="21"/>
      <w:szCs w:val="21"/>
    </w:rPr>
  </w:style>
  <w:style w:type="paragraph" w:styleId="Heading1">
    <w:name w:val="Heading 1"/>
    <w:basedOn w:val="Normal"/>
    <w:next w:val="BodyText"/>
    <w:qFormat/>
    <w:pPr>
      <w:keepNext/>
      <w:pBdr>
        <w:bottom w:val="single" w:color="147D73" w:sz="7" w:space="5"/>
      </w:pBdr>
      <w:spacing w:after="130" w:before="300"/>
      <w:outlineLvl w:val="0"/>
    </w:pPr>
    <w:rPr>
      <w:rFonts w:ascii="Aptos Display" w:cs="Aptos Display" w:eastAsia="Aptos Display" w:hAnsi="Aptos Display"/>
      <w:b/>
      <w:bCs/>
      <w:color w:val="153A5B"/>
      <w:sz w:val="30"/>
      <w:szCs w:val="30"/>
    </w:rPr>
  </w:style>
  <w:style w:type="paragraph" w:styleId="Heading2">
    <w:name w:val="Heading 2"/>
    <w:basedOn w:val="Normal"/>
    <w:next w:val="BodyText"/>
    <w:qFormat/>
    <w:pPr>
      <w:keepNext/>
      <w:spacing w:after="90" w:before="230"/>
      <w:outlineLvl w:val="1"/>
    </w:pPr>
    <w:rPr>
      <w:rFonts w:ascii="Aptos Display" w:cs="Aptos Display" w:eastAsia="Aptos Display" w:hAnsi="Aptos Display"/>
      <w:b/>
      <w:bCs/>
      <w:color w:val="147D73"/>
      <w:sz w:val="24"/>
      <w:szCs w:val="24"/>
    </w:rPr>
  </w:style>
  <w:style w:type="paragraph" w:styleId="Callout">
    <w:name w:val="Callout"/>
    <w:basedOn w:val="BodyText"/>
    <w:next w:val="BodyText"/>
    <w:pPr>
      <w:pBdr>
        <w:left w:val="single" w:color="147D73" w:sz="18" w:space="8"/>
      </w:pBdr>
      <w:shd w:fill="EAF4F3" w:color="auto" w:val="clear"/>
      <w:spacing w:after="180" w:before="80" w:line="260"/>
      <w:ind w:left="240" w:right="240"/>
    </w:pPr>
    <w:rPr>
      <w:rFonts w:ascii="Aptos" w:cs="Aptos" w:eastAsia="Aptos" w:hAnsi="Aptos"/>
      <w:color w:val="24313D"/>
      <w:sz w:val="20"/>
      <w:szCs w:val="20"/>
    </w:rPr>
  </w:style>
  <w:style w:type="paragraph" w:styleId="TableText">
    <w:name w:val="Table Text"/>
    <w:basedOn w:val="Normal"/>
    <w:next w:val="TableText"/>
    <w:pPr>
      <w:spacing w:after="0" w:line="215"/>
    </w:pPr>
    <w:rPr>
      <w:rFonts w:ascii="Aptos" w:cs="Aptos" w:eastAsia="Aptos" w:hAnsi="Aptos"/>
      <w:color w:val="24313D"/>
      <w:sz w:val="17"/>
      <w:szCs w:val="17"/>
    </w:rPr>
  </w:style>
  <w:style w:type="paragraph" w:styleId="TableHeader">
    <w:name w:val="Table Header"/>
    <w:basedOn w:val="Normal"/>
    <w:next w:val="TableText"/>
    <w:pPr>
      <w:keepNext/>
      <w:spacing w:after="0" w:line="210"/>
    </w:pPr>
    <w:rPr>
      <w:rFonts w:ascii="Aptos" w:cs="Aptos" w:eastAsia="Aptos" w:hAnsi="Aptos"/>
      <w:b/>
      <w:bCs/>
      <w:color w:val="FFFFFF"/>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BSAAI Capstone Proposal — Autonomous Pancreatic Lesion Detection and Radiologist Review System</dc:title>
  <dc:creator>Quinton Evans</dc:creator>
  <dc:description>Capstone proposal for an autonomous pancreatic lesion segmentation and radiologist review system.</dc:description>
  <cp:lastModifiedBy>Un-named</cp:lastModifiedBy>
  <cp:revision>1</cp:revision>
  <dcterms:created xsi:type="dcterms:W3CDTF">2026-08-25T18:17:38.148Z</dcterms:created>
  <dcterms:modified xsi:type="dcterms:W3CDTF">2026-08-25T18:17:38.151Z</dcterms:modified>
</cp:coreProperties>
</file>

<file path=docProps/custom.xml><?xml version="1.0" encoding="utf-8"?>
<Properties xmlns="http://schemas.openxmlformats.org/officeDocument/2006/custom-properties" xmlns:vt="http://schemas.openxmlformats.org/officeDocument/2006/docPropsVTypes"/>
</file>