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550"/>
      </w:pPr>
    </w:p>
    <w:p>
      <w:pPr>
        <w:spacing w:after="300"/>
        <w:jc w:val="center"/>
      </w:pPr>
      <w:r>
        <w:rPr>
          <w:b/>
          <w:bCs/>
          <w:color w:val="147D73"/>
          <w:spacing w:val="80"/>
          <w:sz w:val="22"/>
          <w:szCs w:val="22"/>
        </w:rPr>
        <w:t xml:space="preserve">BSAAI CAPSTONE PROPOSAL</w:t>
      </w:r>
    </w:p>
    <w:p>
      <w:pPr>
        <w:spacing w:after="160"/>
        <w:jc w:val="center"/>
      </w:pPr>
      <w:r>
        <w:rPr>
          <w:b/>
          <w:bCs/>
          <w:color w:val="153A5B"/>
          <w:spacing w:val="40"/>
          <w:sz w:val="56"/>
          <w:szCs w:val="56"/>
        </w:rPr>
        <w:t xml:space="preserve">PANTHER</w:t>
      </w:r>
    </w:p>
    <w:p>
      <w:pPr>
        <w:spacing w:after="160"/>
        <w:jc w:val="center"/>
      </w:pPr>
      <w:r>
        <w:rPr>
          <w:b/>
          <w:bCs/>
          <w:color w:val="147D73"/>
          <w:sz w:val="20"/>
          <w:szCs w:val="20"/>
        </w:rPr>
        <w:t xml:space="preserve">Pancreatic Annotation, Navigation, Tumor Highlighting,</w:t>
      </w:r>
    </w:p>
    <w:p>
      <w:pPr>
        <w:spacing w:after="420"/>
        <w:jc w:val="center"/>
      </w:pPr>
      <w:r>
        <w:rPr>
          <w:b/>
          <w:bCs/>
          <w:color w:val="147D73"/>
          <w:sz w:val="20"/>
          <w:szCs w:val="20"/>
        </w:rPr>
        <w:t xml:space="preserve">Evaluation, and Review</w:t>
      </w:r>
    </w:p>
    <w:p>
      <w:pPr>
        <w:spacing w:after="520"/>
        <w:jc w:val="center"/>
      </w:pPr>
      <w:r>
        <w:rPr>
          <w:b/>
          <w:bCs/>
          <w:color w:val="24313D"/>
          <w:sz w:val="25"/>
          <w:szCs w:val="25"/>
        </w:rPr>
        <w:t xml:space="preserve">An Autonomous Pancreatic Lesion Annotation and Radiologist Review System</w:t>
      </w:r>
    </w:p>
    <w:p>
      <w:pPr>
        <w:pBdr>
          <w:top w:val="single" w:color="C8D4DC" w:sz="8" w:space="12"/>
        </w:pBdr>
        <w:spacing w:after="240" w:before="280"/>
        <w:jc w:val="center"/>
      </w:pPr>
      <w:r>
        <w:rPr>
          <w:b/>
          <w:bCs/>
          <w:color w:val="24313D"/>
          <w:sz w:val="26"/>
          <w:szCs w:val="26"/>
        </w:rPr>
        <w:t xml:space="preserve">Quinton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Why PANTHER. </w:t>
      </w:r>
      <w:r>
        <w:t xml:space="preserve">PANTHER stands for Pancreatic Annotation, Navigation, Tumor Highlighting, Evaluation, and Review. The name follows the workflow: the system navigates to the pancreas, proposes annotations, highlights a suspected target for evaluation, and returns the decision to human review.</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ageBreakBefore/>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combining datasets, matching records across sources, reconciling label meaning, tracking annotation origin, detecting duplicates, and protecting evaluation data. </w:t>
      </w:r>
      <w:r>
        <w:rPr>
          <w:b/>
          <w:bCs/>
        </w:rPr>
        <w:t xml:space="preserve">Experience: </w:t>
      </w:r>
      <w:r>
        <w:t xml:space="preserve">Experienced combining datasets and building reproducible data pipelines. </w:t>
      </w:r>
      <w:r>
        <w:rPr>
          <w:b/>
          <w:bCs/>
        </w:rPr>
        <w:t xml:space="preserve">Growth plan: </w:t>
      </w:r>
      <w:r>
        <w:t xml:space="preserve">Apply that experience to the project’s validation, provenance, and evaluation controls, and document the reconciliation evidence in the technical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schedule commits to measurable outcomes while leaving implementation choices open until the evidence needed to make them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design</w:t>
            </w:r>
          </w:p>
        </w:tc>
        <w:tc>
          <w:tcPr>
            <w:tcW w:type="dxa" w:w="3300"/>
            <w:tcMar>
              <w:top w:type="dxa" w:w="100"/>
              <w:left w:type="dxa" w:w="120"/>
              <w:bottom w:type="dxa" w:w="100"/>
              <w:right w:type="dxa" w:w="120"/>
            </w:tcMar>
            <w:vAlign w:val="center"/>
          </w:tcPr>
          <w:p>
            <w:pPr>
              <w:pStyle w:val="TableText"/>
            </w:pPr>
            <w:r>
              <w:t xml:space="preserve">Confirm the data model, storage plan, validation rules, and compute approach before implementation.</w:t>
            </w:r>
          </w:p>
        </w:tc>
        <w:tc>
          <w:tcPr>
            <w:tcW w:type="dxa" w:w="3000"/>
            <w:tcMar>
              <w:top w:type="dxa" w:w="100"/>
              <w:left w:type="dxa" w:w="120"/>
              <w:bottom w:type="dxa" w:w="100"/>
              <w:right w:type="dxa" w:w="120"/>
            </w:tcMar>
            <w:vAlign w:val="center"/>
          </w:tcPr>
          <w:p>
            <w:pPr>
              <w:pStyle w:val="TableText"/>
            </w:pPr>
            <w:r>
              <w:t xml:space="preserve">Approved data design and validation checklist.</w:t>
            </w:r>
          </w:p>
        </w:tc>
        <w:tc>
          <w:tcPr>
            <w:tcW w:type="dxa" w:w="1750"/>
            <w:tcMar>
              <w:top w:type="dxa" w:w="100"/>
              <w:left w:type="dxa" w:w="120"/>
              <w:bottom w:type="dxa" w:w="100"/>
              <w:right w:type="dxa" w:w="120"/>
            </w:tcMar>
            <w:vAlign w:val="center"/>
          </w:tcPr>
          <w:p>
            <w:pPr>
              <w:pStyle w:val="TableText"/>
            </w:pPr>
            <w:r>
              <w:t xml:space="preserve">Core data rules or storage decisions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Move training, validation, and test membership into a controlled data layer. Ensure that every patient appears in only one group.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and automated checks prevent patient overlap.</w:t>
            </w:r>
          </w:p>
        </w:tc>
        <w:tc>
          <w:tcPr>
            <w:tcW w:type="dxa" w:w="1750"/>
            <w:shd w:fill="F4F6F8" w:color="auto" w:val="clear"/>
            <w:tcMar>
              <w:top w:type="dxa" w:w="100"/>
              <w:left w:type="dxa" w:w="120"/>
              <w:bottom w:type="dxa" w:w="100"/>
              <w:right w:type="dxa" w:w="120"/>
            </w:tcMar>
            <w:vAlign w:val="center"/>
          </w:tcPr>
          <w:p>
            <w:pPr>
              <w:pStyle w:val="TableText"/>
            </w:pPr>
            <w:r>
              <w:t xml:space="preserve">Any patient can appear in both training and evaluation data.</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 imaging source</w:t>
            </w:r>
          </w:p>
        </w:tc>
        <w:tc>
          <w:tcPr>
            <w:tcW w:type="dxa" w:w="3300"/>
            <w:tcMar>
              <w:top w:type="dxa" w:w="100"/>
              <w:left w:type="dxa" w:w="120"/>
              <w:bottom w:type="dxa" w:w="100"/>
              <w:right w:type="dxa" w:w="120"/>
            </w:tcMar>
            <w:vAlign w:val="center"/>
          </w:tcPr>
          <w:p>
            <w:pPr>
              <w:pStyle w:val="TableText"/>
            </w:pPr>
            <w:r>
              <w:t xml:space="preserve">Ingest the additional imaging source, reconcile labels and identifiers, and record annotation quality and origin.</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duplicate checks.</w:t>
            </w:r>
          </w:p>
        </w:tc>
        <w:tc>
          <w:tcPr>
            <w:tcW w:type="dxa" w:w="1750"/>
            <w:tcMar>
              <w:top w:type="dxa" w:w="100"/>
              <w:left w:type="dxa" w:w="120"/>
              <w:bottom w:type="dxa" w:w="100"/>
              <w:right w:type="dxa" w:w="120"/>
            </w:tcMar>
            <w:vAlign w:val="center"/>
          </w:tcPr>
          <w:p>
            <w:pPr>
              <w:pStyle w:val="TableText"/>
            </w:pPr>
            <w:r>
              <w:t xml:space="preserve">Source differences cannot yet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preprocessing, validation, and efficient access to the combined training data.</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and label history preserved.</w:t>
            </w:r>
          </w:p>
        </w:tc>
        <w:tc>
          <w:tcPr>
            <w:tcW w:type="dxa" w:w="1750"/>
            <w:shd w:fill="F4F6F8" w:color="auto" w:val="clear"/>
            <w:tcMar>
              <w:top w:type="dxa" w:w="100"/>
              <w:left w:type="dxa" w:w="120"/>
              <w:bottom w:type="dxa" w:w="100"/>
              <w:right w:type="dxa" w:w="120"/>
            </w:tcMar>
            <w:vAlign w:val="center"/>
          </w:tcPr>
          <w:p>
            <w:pPr>
              <w:pStyle w:val="TableText"/>
            </w:pPr>
            <w:r>
              <w:t xml:space="preserve">Training data cannot be reproduced from the recorded configuration.</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Train and evaluate new models for pancreas localization and the full localization-to-segmentation path without a provided region.</w:t>
            </w:r>
          </w:p>
        </w:tc>
        <w:tc>
          <w:tcPr>
            <w:tcW w:type="dxa" w:w="3000"/>
            <w:tcMar>
              <w:top w:type="dxa" w:w="100"/>
              <w:left w:type="dxa" w:w="120"/>
              <w:bottom w:type="dxa" w:w="100"/>
              <w:right w:type="dxa" w:w="120"/>
            </w:tcMar>
            <w:vAlign w:val="center"/>
          </w:tcPr>
          <w:p>
            <w:pPr>
              <w:pStyle w:val="TableText"/>
            </w:pPr>
            <w:r>
              <w:t xml:space="preserve">First held-out autonomous baseline and error analysis.</w:t>
            </w:r>
          </w:p>
        </w:tc>
        <w:tc>
          <w:tcPr>
            <w:tcW w:type="dxa" w:w="1750"/>
            <w:tcMar>
              <w:top w:type="dxa" w:w="100"/>
              <w:left w:type="dxa" w:w="120"/>
              <w:bottom w:type="dxa" w:w="100"/>
              <w:right w:type="dxa" w:w="120"/>
            </w:tcMar>
            <w:vAlign w:val="center"/>
          </w:tcPr>
          <w:p>
            <w:pPr>
              <w:pStyle w:val="TableText"/>
            </w:pPr>
            <w:r>
              <w:t xml:space="preserve">The new pipeline cannot be evaluated end to end.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experimentation</w:t>
            </w:r>
          </w:p>
        </w:tc>
        <w:tc>
          <w:tcPr>
            <w:tcW w:type="dxa" w:w="3300"/>
            <w:shd w:fill="F4F6F8" w:color="auto" w:val="clear"/>
            <w:tcMar>
              <w:top w:type="dxa" w:w="100"/>
              <w:left w:type="dxa" w:w="120"/>
              <w:bottom w:type="dxa" w:w="100"/>
              <w:right w:type="dxa" w:w="120"/>
            </w:tcMar>
            <w:vAlign w:val="center"/>
          </w:tcPr>
          <w:p>
            <w:pPr>
              <w:pStyle w:val="TableText"/>
            </w:pPr>
            <w:r>
              <w:t xml:space="preserve">Select the highest-value experiment from the baseline error analysis and compare it fairly with the fixed baseline.</w:t>
            </w:r>
          </w:p>
        </w:tc>
        <w:tc>
          <w:tcPr>
            <w:tcW w:type="dxa" w:w="3000"/>
            <w:shd w:fill="F4F6F8" w:color="auto" w:val="clear"/>
            <w:tcMar>
              <w:top w:type="dxa" w:w="100"/>
              <w:left w:type="dxa" w:w="120"/>
              <w:bottom w:type="dxa" w:w="100"/>
              <w:right w:type="dxa" w:w="120"/>
            </w:tcMar>
            <w:vAlign w:val="center"/>
          </w:tcPr>
          <w:p>
            <w:pPr>
              <w:pStyle w:val="TableText"/>
            </w:pPr>
            <w:r>
              <w:t xml:space="preserve">At least one controlled comparison with a documented result and decision.</w:t>
            </w:r>
          </w:p>
        </w:tc>
        <w:tc>
          <w:tcPr>
            <w:tcW w:type="dxa" w:w="1750"/>
            <w:shd w:fill="F4F6F8" w:color="auto" w:val="clear"/>
            <w:tcMar>
              <w:top w:type="dxa" w:w="100"/>
              <w:left w:type="dxa" w:w="120"/>
              <w:bottom w:type="dxa" w:w="100"/>
              <w:right w:type="dxa" w:w="120"/>
            </w:tcMar>
            <w:vAlign w:val="center"/>
          </w:tcPr>
          <w:p>
            <w:pPr>
              <w:pStyle w:val="TableText"/>
            </w:pPr>
            <w:r>
              <w:t xml:space="preserve">No result can be compared directly with the baseline.</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False-alarm tradeoff</w:t>
            </w:r>
          </w:p>
        </w:tc>
        <w:tc>
          <w:tcPr>
            <w:tcW w:type="dxa" w:w="3300"/>
            <w:tcMar>
              <w:top w:type="dxa" w:w="100"/>
              <w:left w:type="dxa" w:w="120"/>
              <w:bottom w:type="dxa" w:w="100"/>
              <w:right w:type="dxa" w:w="120"/>
            </w:tcMar>
            <w:vAlign w:val="center"/>
          </w:tcPr>
          <w:p>
            <w:pPr>
              <w:pStyle w:val="TableText"/>
            </w:pPr>
            <w:r>
              <w:t xml:space="preserve">Evaluate how decision thresholds balance detected tumors against false alarms; hold the stakeholder review session.</w:t>
            </w:r>
          </w:p>
        </w:tc>
        <w:tc>
          <w:tcPr>
            <w:tcW w:type="dxa" w:w="3000"/>
            <w:tcMar>
              <w:top w:type="dxa" w:w="100"/>
              <w:left w:type="dxa" w:w="120"/>
              <w:bottom w:type="dxa" w:w="100"/>
              <w:right w:type="dxa" w:w="120"/>
            </w:tcMar>
            <w:vAlign w:val="center"/>
          </w:tcPr>
          <w:p>
            <w:pPr>
              <w:pStyle w:val="TableText"/>
            </w:pPr>
            <w:r>
              <w:t xml:space="preserve">Patient-level tradeoff results and documented stakeholder feedback.</w:t>
            </w:r>
          </w:p>
        </w:tc>
        <w:tc>
          <w:tcPr>
            <w:tcW w:type="dxa" w:w="1750"/>
            <w:tcMar>
              <w:top w:type="dxa" w:w="100"/>
              <w:left w:type="dxa" w:w="120"/>
              <w:bottom w:type="dxa" w:w="100"/>
              <w:right w:type="dxa" w:w="120"/>
            </w:tcMar>
            <w:vAlign w:val="center"/>
          </w:tcPr>
          <w:p>
            <w:pPr>
              <w:pStyle w:val="TableText"/>
            </w:pPr>
            <w:r>
              <w:t xml:space="preserve">No usable comparison or stakeholder feedback is 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w:t>
            </w:r>
          </w:p>
        </w:tc>
        <w:tc>
          <w:tcPr>
            <w:tcW w:type="dxa" w:w="3300"/>
            <w:shd w:fill="F4F6F8" w:color="auto" w:val="clear"/>
            <w:tcMar>
              <w:top w:type="dxa" w:w="100"/>
              <w:left w:type="dxa" w:w="120"/>
              <w:bottom w:type="dxa" w:w="100"/>
              <w:right w:type="dxa" w:w="120"/>
            </w:tcMar>
            <w:vAlign w:val="center"/>
          </w:tcPr>
          <w:p>
            <w:pPr>
              <w:pStyle w:val="TableText"/>
            </w:pPr>
            <w:r>
              <w:t xml:space="preserve">Build the literature index and test whether relevant source passages are retrieved for representative questions.</w:t>
            </w:r>
          </w:p>
        </w:tc>
        <w:tc>
          <w:tcPr>
            <w:tcW w:type="dxa" w:w="3000"/>
            <w:shd w:fill="F4F6F8" w:color="auto" w:val="clear"/>
            <w:tcMar>
              <w:top w:type="dxa" w:w="100"/>
              <w:left w:type="dxa" w:w="120"/>
              <w:bottom w:type="dxa" w:w="100"/>
              <w:right w:type="dxa" w:w="120"/>
            </w:tcMar>
            <w:vAlign w:val="center"/>
          </w:tcPr>
          <w:p>
            <w:pPr>
              <w:pStyle w:val="TableText"/>
            </w:pPr>
            <w:r>
              <w:t xml:space="preserve">Queryable literature source with measured retrieval quality.</w:t>
            </w:r>
          </w:p>
        </w:tc>
        <w:tc>
          <w:tcPr>
            <w:tcW w:type="dxa" w:w="1750"/>
            <w:shd w:fill="F4F6F8" w:color="auto" w:val="clear"/>
            <w:tcMar>
              <w:top w:type="dxa" w:w="100"/>
              <w:left w:type="dxa" w:w="120"/>
              <w:bottom w:type="dxa" w:w="100"/>
              <w:right w:type="dxa" w:w="120"/>
            </w:tcMar>
            <w:vAlign w:val="center"/>
          </w:tcPr>
          <w:p>
            <w:pPr>
              <w:pStyle w:val="TableText"/>
            </w:pPr>
            <w:r>
              <w:t xml:space="preserve">The system cannot reliably retrieve supporting passages.</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System integration</w:t>
            </w:r>
          </w:p>
        </w:tc>
        <w:tc>
          <w:tcPr>
            <w:tcW w:type="dxa" w:w="3300"/>
            <w:tcMar>
              <w:top w:type="dxa" w:w="100"/>
              <w:left w:type="dxa" w:w="120"/>
              <w:bottom w:type="dxa" w:w="100"/>
              <w:right w:type="dxa" w:w="120"/>
            </w:tcMar>
            <w:vAlign w:val="center"/>
          </w:tcPr>
          <w:p>
            <w:pPr>
              <w:pStyle w:val="TableText"/>
            </w:pPr>
            <w:r>
              <w:t xml:space="preserve">Connect scan processing, measurements, review, stored decisions, and the evidence-grounded assistant.</w:t>
            </w:r>
          </w:p>
        </w:tc>
        <w:tc>
          <w:tcPr>
            <w:tcW w:type="dxa" w:w="3000"/>
            <w:tcMar>
              <w:top w:type="dxa" w:w="100"/>
              <w:left w:type="dxa" w:w="120"/>
              <w:bottom w:type="dxa" w:w="100"/>
              <w:right w:type="dxa" w:w="120"/>
            </w:tcMar>
            <w:vAlign w:val="center"/>
          </w:tcPr>
          <w:p>
            <w:pPr>
              <w:pStyle w:val="TableText"/>
            </w:pPr>
            <w:r>
              <w:t xml:space="preserve">End-to-end demonstration from scan arrival to recorded review decision.</w:t>
            </w:r>
          </w:p>
        </w:tc>
        <w:tc>
          <w:tcPr>
            <w:tcW w:type="dxa" w:w="1750"/>
            <w:tcMar>
              <w:top w:type="dxa" w:w="100"/>
              <w:left w:type="dxa" w:w="120"/>
              <w:bottom w:type="dxa" w:w="100"/>
              <w:right w:type="dxa" w:w="120"/>
            </w:tcMar>
            <w:vAlign w:val="center"/>
          </w:tcPr>
          <w:p>
            <w:pPr>
              <w:pStyle w:val="TableText"/>
            </w:pPr>
            <w:r>
              <w:t xml:space="preserve">Major components still require separate manual operation.</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Evaluation and delivery</w:t>
            </w:r>
          </w:p>
        </w:tc>
        <w:tc>
          <w:tcPr>
            <w:tcW w:type="dxa" w:w="3300"/>
            <w:shd w:fill="F4F6F8" w:color="auto" w:val="clear"/>
            <w:tcMar>
              <w:top w:type="dxa" w:w="100"/>
              <w:left w:type="dxa" w:w="120"/>
              <w:bottom w:type="dxa" w:w="100"/>
              <w:right w:type="dxa" w:w="120"/>
            </w:tcMar>
            <w:vAlign w:val="center"/>
          </w:tcPr>
          <w:p>
            <w:pPr>
              <w:pStyle w:val="TableText"/>
            </w:pPr>
            <w:r>
              <w:t xml:space="preserve">Run the held-out evaluation, complete documentation, and prepare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Evaluation or documentation remains incomplete.</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w:t>
      </w:r>
    </w:p>
    <w:p>
      <w:pPr>
        <w:pStyle w:val="Heading2"/>
      </w:pPr>
      <w:r>
        <w:t xml:space="preserve">Stretch opportunities</w:t>
      </w:r>
    </w:p>
    <w:p>
      <w:pPr>
        <w:pStyle w:val="BodyText"/>
      </w:pPr>
      <w:r>
        <w:t xml:space="preserve">The estimates below describe hands-on implementation time after the committed system is functioning. They do not include waiting for an outside reviewer, and no stretch opportunity is presented as a guaranteed improvement.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300"/>
        <w:gridCol w:w="2780"/>
      </w:tblGrid>
      <w:tr>
        <w:trPr>
          <w:cantSplit/>
          <w:tblHeader/>
        </w:trPr>
        <w:tc>
          <w:tcPr>
            <w:tcW w:type="dxa" w:w="2100"/>
            <w:shd w:fill="153A5B" w:color="auto" w:val="clear"/>
            <w:tcMar>
              <w:top w:type="dxa" w:w="100"/>
              <w:left w:type="dxa" w:w="120"/>
              <w:bottom w:type="dxa" w:w="100"/>
              <w:right w:type="dxa" w:w="120"/>
            </w:tcMar>
            <w:vAlign w:val="center"/>
          </w:tcPr>
          <w:p>
            <w:pPr>
              <w:pStyle w:val="TableHeader"/>
            </w:pPr>
            <w:r>
              <w:rPr>
                <w:b/>
                <w:bCs/>
                <w:color w:val="FFFFFF"/>
              </w:rPr>
              <w:t xml:space="preserve">Stretch opportunity</w:t>
            </w:r>
          </w:p>
        </w:tc>
        <w:tc>
          <w:tcPr>
            <w:tcW w:type="dxa" w:w="3900"/>
            <w:shd w:fill="153A5B" w:color="auto" w:val="clear"/>
            <w:tcMar>
              <w:top w:type="dxa" w:w="100"/>
              <w:left w:type="dxa" w:w="120"/>
              <w:bottom w:type="dxa" w:w="100"/>
              <w:right w:type="dxa" w:w="120"/>
            </w:tcMar>
            <w:vAlign w:val="center"/>
          </w:tcPr>
          <w:p>
            <w:pPr>
              <w:pStyle w:val="TableHeader"/>
            </w:pPr>
            <w:r>
              <w:rPr>
                <w:b/>
                <w:bCs/>
                <w:color w:val="FFFFFF"/>
              </w:rPr>
              <w:t xml:space="preserve">Scope and potential benefit</w:t>
            </w:r>
          </w:p>
        </w:tc>
        <w:tc>
          <w:tcPr>
            <w:tcW w:type="dxa" w:w="1300"/>
            <w:shd w:fill="153A5B" w:color="auto" w:val="clear"/>
            <w:tcMar>
              <w:top w:type="dxa" w:w="100"/>
              <w:left w:type="dxa" w:w="120"/>
              <w:bottom w:type="dxa" w:w="100"/>
              <w:right w:type="dxa" w:w="120"/>
            </w:tcMar>
            <w:vAlign w:val="center"/>
          </w:tcPr>
          <w:p>
            <w:pPr>
              <w:pStyle w:val="TableHeader"/>
            </w:pPr>
            <w:r>
              <w:rPr>
                <w:b/>
                <w:bCs/>
                <w:color w:val="FFFFFF"/>
              </w:rPr>
              <w:t xml:space="preserve">Complexity</w:t>
            </w:r>
          </w:p>
        </w:tc>
        <w:tc>
          <w:tcPr>
            <w:tcW w:type="dxa" w:w="2780"/>
            <w:shd w:fill="153A5B" w:color="auto" w:val="clear"/>
            <w:tcMar>
              <w:top w:type="dxa" w:w="100"/>
              <w:left w:type="dxa" w:w="120"/>
              <w:bottom w:type="dxa" w:w="100"/>
              <w:right w:type="dxa" w:w="120"/>
            </w:tcMar>
            <w:vAlign w:val="center"/>
          </w:tcPr>
          <w:p>
            <w:pPr>
              <w:pStyle w:val="TableHeader"/>
            </w:pPr>
            <w:r>
              <w:rPr>
                <w:b/>
                <w:bCs/>
                <w:color w:val="FFFFFF"/>
              </w:rPr>
              <w:t xml:space="preserve">Estimated implementation effort</w:t>
            </w:r>
          </w:p>
        </w:tc>
      </w:tr>
      <w:tr>
        <w:trPr>
          <w:cantSplit/>
          <w:tblHeader w:val="false"/>
        </w:trPr>
        <w:tc>
          <w:tcPr>
            <w:tcW w:type="dxa" w:w="2100"/>
            <w:tcMar>
              <w:top w:type="dxa" w:w="100"/>
              <w:left w:type="dxa" w:w="120"/>
              <w:bottom w:type="dxa" w:w="100"/>
              <w:right w:type="dxa" w:w="120"/>
            </w:tcMar>
            <w:vAlign w:val="center"/>
          </w:tcPr>
          <w:p>
            <w:pPr>
              <w:pStyle w:val="TableText"/>
            </w:pPr>
            <w:r>
              <w:t xml:space="preserve">Further model experimentation</w:t>
            </w:r>
          </w:p>
        </w:tc>
        <w:tc>
          <w:tcPr>
            <w:tcW w:type="dxa" w:w="3900"/>
            <w:tcMar>
              <w:top w:type="dxa" w:w="100"/>
              <w:left w:type="dxa" w:w="120"/>
              <w:bottom w:type="dxa" w:w="100"/>
              <w:right w:type="dxa" w:w="120"/>
            </w:tcMar>
            <w:vAlign w:val="center"/>
          </w:tcPr>
          <w:p>
            <w:pPr>
              <w:pStyle w:val="TableText"/>
            </w:pPr>
            <w:r>
              <w:t xml:space="preserve">Run an additional evidence-driven comparison after the required baseline experiment, increasing the chance of finding a better accuracy or false-alarm tradeoff.</w:t>
            </w:r>
          </w:p>
        </w:tc>
        <w:tc>
          <w:tcPr>
            <w:tcW w:type="dxa" w:w="1300"/>
            <w:tcMar>
              <w:top w:type="dxa" w:w="100"/>
              <w:left w:type="dxa" w:w="120"/>
              <w:bottom w:type="dxa" w:w="100"/>
              <w:right w:type="dxa" w:w="120"/>
            </w:tcMar>
            <w:vAlign w:val="center"/>
          </w:tcPr>
          <w:p>
            <w:pPr>
              <w:pStyle w:val="TableText"/>
            </w:pPr>
            <w:r>
              <w:t xml:space="preserve">High</w:t>
            </w:r>
          </w:p>
        </w:tc>
        <w:tc>
          <w:tcPr>
            <w:tcW w:type="dxa" w:w="2780"/>
            <w:tcMar>
              <w:top w:type="dxa" w:w="100"/>
              <w:left w:type="dxa" w:w="120"/>
              <w:bottom w:type="dxa" w:w="100"/>
              <w:right w:type="dxa" w:w="120"/>
            </w:tcMar>
            <w:vAlign w:val="center"/>
          </w:tcPr>
          <w:p>
            <w:pPr>
              <w:pStyle w:val="TableText"/>
            </w:pPr>
            <w:r>
              <w:t xml:space="preserve">1–2 weeks per additional experiment, including training, evaluation, and analysis.</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Expanded text sources</w:t>
            </w:r>
          </w:p>
        </w:tc>
        <w:tc>
          <w:tcPr>
            <w:tcW w:type="dxa" w:w="3900"/>
            <w:shd w:fill="F4F6F8" w:color="auto" w:val="clear"/>
            <w:tcMar>
              <w:top w:type="dxa" w:w="100"/>
              <w:left w:type="dxa" w:w="120"/>
              <w:bottom w:type="dxa" w:w="100"/>
              <w:right w:type="dxa" w:w="120"/>
            </w:tcMar>
            <w:vAlign w:val="center"/>
          </w:tcPr>
          <w:p>
            <w:pPr>
              <w:pStyle w:val="TableText"/>
            </w:pPr>
            <w:r>
              <w:t xml:space="preserve">Add PanTS text resources or broader literature coverage, then remeasure whether retrieval improves without reducing precision.</w:t>
            </w:r>
          </w:p>
        </w:tc>
        <w:tc>
          <w:tcPr>
            <w:tcW w:type="dxa" w:w="1300"/>
            <w:shd w:fill="F4F6F8" w:color="auto" w:val="clear"/>
            <w:tcMar>
              <w:top w:type="dxa" w:w="100"/>
              <w:left w:type="dxa" w:w="120"/>
              <w:bottom w:type="dxa" w:w="100"/>
              <w:right w:type="dxa" w:w="120"/>
            </w:tcMar>
            <w:vAlign w:val="center"/>
          </w:tcPr>
          <w:p>
            <w:pPr>
              <w:pStyle w:val="TableText"/>
            </w:pPr>
            <w:r>
              <w:t xml:space="preserve">Medium</w:t>
            </w:r>
          </w:p>
        </w:tc>
        <w:tc>
          <w:tcPr>
            <w:tcW w:type="dxa" w:w="2780"/>
            <w:shd w:fill="F4F6F8" w:color="auto" w:val="clear"/>
            <w:tcMar>
              <w:top w:type="dxa" w:w="100"/>
              <w:left w:type="dxa" w:w="120"/>
              <w:bottom w:type="dxa" w:w="100"/>
              <w:right w:type="dxa" w:w="120"/>
            </w:tcMar>
            <w:vAlign w:val="center"/>
          </w:tcPr>
          <w:p>
            <w:pPr>
              <w:pStyle w:val="TableText"/>
            </w:pPr>
            <w:r>
              <w:t xml:space="preserve">3–5 working days for ingestion, indexing, and evaluation updates.</w:t>
            </w:r>
          </w:p>
        </w:tc>
      </w:tr>
      <w:tr>
        <w:trPr>
          <w:cantSplit/>
          <w:tblHeader w:val="false"/>
        </w:trPr>
        <w:tc>
          <w:tcPr>
            <w:tcW w:type="dxa" w:w="2100"/>
            <w:tcMar>
              <w:top w:type="dxa" w:w="100"/>
              <w:left w:type="dxa" w:w="120"/>
              <w:bottom w:type="dxa" w:w="100"/>
              <w:right w:type="dxa" w:w="120"/>
            </w:tcMar>
            <w:vAlign w:val="center"/>
          </w:tcPr>
          <w:p>
            <w:pPr>
              <w:pStyle w:val="TableText"/>
            </w:pPr>
            <w:r>
              <w:t xml:space="preserve">Richer report support</w:t>
            </w:r>
          </w:p>
        </w:tc>
        <w:tc>
          <w:tcPr>
            <w:tcW w:type="dxa" w:w="3900"/>
            <w:tcMar>
              <w:top w:type="dxa" w:w="100"/>
              <w:left w:type="dxa" w:w="120"/>
              <w:bottom w:type="dxa" w:w="100"/>
              <w:right w:type="dxa" w:w="120"/>
            </w:tcMar>
            <w:vAlign w:val="center"/>
          </w:tcPr>
          <w:p>
            <w:pPr>
              <w:pStyle w:val="TableText"/>
            </w:pPr>
            <w:r>
              <w:t xml:space="preserve">Draft a structured summary from accepted findings and evaluate whether every statement remains complete, editable, and grounded in available evidence.</w:t>
            </w:r>
          </w:p>
        </w:tc>
        <w:tc>
          <w:tcPr>
            <w:tcW w:type="dxa" w:w="1300"/>
            <w:tcMar>
              <w:top w:type="dxa" w:w="100"/>
              <w:left w:type="dxa" w:w="120"/>
              <w:bottom w:type="dxa" w:w="100"/>
              <w:right w:type="dxa" w:w="120"/>
            </w:tcMar>
            <w:vAlign w:val="center"/>
          </w:tcPr>
          <w:p>
            <w:pPr>
              <w:pStyle w:val="TableText"/>
            </w:pPr>
            <w:r>
              <w:t xml:space="preserve">Medium–High</w:t>
            </w:r>
          </w:p>
        </w:tc>
        <w:tc>
          <w:tcPr>
            <w:tcW w:type="dxa" w:w="2780"/>
            <w:tcMar>
              <w:top w:type="dxa" w:w="100"/>
              <w:left w:type="dxa" w:w="120"/>
              <w:bottom w:type="dxa" w:w="100"/>
              <w:right w:type="dxa" w:w="120"/>
            </w:tcMar>
            <w:vAlign w:val="center"/>
          </w:tcPr>
          <w:p>
            <w:pPr>
              <w:pStyle w:val="TableText"/>
            </w:pPr>
            <w:r>
              <w:t xml:space="preserve">5–8 working days for generation, review controls, interface work, and evaluation.</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External evaluation</w:t>
            </w:r>
          </w:p>
        </w:tc>
        <w:tc>
          <w:tcPr>
            <w:tcW w:type="dxa" w:w="3900"/>
            <w:shd w:fill="F4F6F8" w:color="auto" w:val="clear"/>
            <w:tcMar>
              <w:top w:type="dxa" w:w="100"/>
              <w:left w:type="dxa" w:w="120"/>
              <w:bottom w:type="dxa" w:w="100"/>
              <w:right w:type="dxa" w:w="120"/>
            </w:tcMar>
            <w:vAlign w:val="center"/>
          </w:tcPr>
          <w:p>
            <w:pPr>
              <w:pStyle w:val="TableText"/>
            </w:pPr>
            <w:r>
              <w:t xml:space="preserve">Package the model, configuration, documentation, and outputs for an outside research team or hidden evaluation path.</w:t>
            </w:r>
          </w:p>
        </w:tc>
        <w:tc>
          <w:tcPr>
            <w:tcW w:type="dxa" w:w="1300"/>
            <w:shd w:fill="F4F6F8" w:color="auto" w:val="clear"/>
            <w:tcMar>
              <w:top w:type="dxa" w:w="100"/>
              <w:left w:type="dxa" w:w="120"/>
              <w:bottom w:type="dxa" w:w="100"/>
              <w:right w:type="dxa" w:w="120"/>
            </w:tcMar>
            <w:vAlign w:val="center"/>
          </w:tcPr>
          <w:p>
            <w:pPr>
              <w:pStyle w:val="TableText"/>
            </w:pPr>
            <w:r>
              <w:t xml:space="preserve">Medium internally; high external dependency</w:t>
            </w:r>
          </w:p>
        </w:tc>
        <w:tc>
          <w:tcPr>
            <w:tcW w:type="dxa" w:w="2780"/>
            <w:shd w:fill="F4F6F8" w:color="auto" w:val="clear"/>
            <w:tcMar>
              <w:top w:type="dxa" w:w="100"/>
              <w:left w:type="dxa" w:w="120"/>
              <w:bottom w:type="dxa" w:w="100"/>
              <w:right w:type="dxa" w:w="120"/>
            </w:tcMar>
            <w:vAlign w:val="center"/>
          </w:tcPr>
          <w:p>
            <w:pPr>
              <w:pStyle w:val="TableText"/>
            </w:pPr>
            <w:r>
              <w:t xml:space="preserve">2–4 working days to package and verify; response time is outside the project’s control.</w:t>
            </w:r>
          </w:p>
        </w:tc>
      </w:tr>
    </w:tbl>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Quinton Evans  |  PANTHER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PANTHER — BSAAI Capstone Proposal</dc:title>
  <dc:creator>Quinton Evans</dc:creator>
  <dc:description>PANTHER: Pancreatic Annotation, Navigation, Tumor Highlighting, Evaluation, and Review.</dc:description>
  <cp:lastModifiedBy>Un-named</cp:lastModifiedBy>
  <cp:revision>1</cp:revision>
  <dcterms:created xsi:type="dcterms:W3CDTF">2026-08-25T18:24:14.709Z</dcterms:created>
  <dcterms:modified xsi:type="dcterms:W3CDTF">2026-08-25T18:24:14.710Z</dcterms:modified>
</cp:coreProperties>
</file>

<file path=docProps/custom.xml><?xml version="1.0" encoding="utf-8"?>
<Properties xmlns="http://schemas.openxmlformats.org/officeDocument/2006/custom-properties" xmlns:vt="http://schemas.openxmlformats.org/officeDocument/2006/docPropsVTypes"/>
</file>