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550"/>
      </w:pPr>
    </w:p>
    <w:p>
      <w:pPr>
        <w:spacing w:after="300"/>
        <w:jc w:val="center"/>
      </w:pPr>
      <w:r>
        <w:rPr>
          <w:b/>
          <w:bCs/>
          <w:color w:val="147D73"/>
          <w:spacing w:val="80"/>
          <w:sz w:val="22"/>
          <w:szCs w:val="22"/>
        </w:rPr>
        <w:t xml:space="preserve">BSAAI CAPSTONE PROPOSAL</w:t>
      </w:r>
    </w:p>
    <w:p>
      <w:pPr>
        <w:spacing w:after="160"/>
        <w:jc w:val="center"/>
      </w:pPr>
      <w:r>
        <w:rPr>
          <w:b/>
          <w:bCs/>
          <w:color w:val="153A5B"/>
          <w:spacing w:val="40"/>
          <w:sz w:val="56"/>
          <w:szCs w:val="56"/>
        </w:rPr>
        <w:t xml:space="preserve">PROWL</w:t>
      </w:r>
    </w:p>
    <w:p>
      <w:pPr>
        <w:spacing w:after="160"/>
        <w:jc w:val="center"/>
      </w:pPr>
      <w:r>
        <w:rPr>
          <w:b/>
          <w:bCs/>
          <w:color w:val="147D73"/>
          <w:sz w:val="20"/>
          <w:szCs w:val="20"/>
        </w:rPr>
        <w:t xml:space="preserve">Pancreatic Review and Outlining</w:t>
      </w:r>
    </w:p>
    <w:p>
      <w:pPr>
        <w:spacing w:after="420"/>
        <w:jc w:val="center"/>
      </w:pPr>
      <w:r>
        <w:rPr>
          <w:b/>
          <w:bCs/>
          <w:color w:val="147D73"/>
          <w:sz w:val="20"/>
          <w:szCs w:val="20"/>
        </w:rPr>
        <w:t xml:space="preserve">Workflow for Lesions</w:t>
      </w:r>
    </w:p>
    <w:p>
      <w:pPr>
        <w:spacing w:after="520"/>
        <w:jc w:val="center"/>
      </w:pPr>
      <w:r>
        <w:rPr>
          <w:b/>
          <w:bCs/>
          <w:color w:val="24313D"/>
          <w:sz w:val="25"/>
          <w:szCs w:val="25"/>
        </w:rPr>
        <w:t xml:space="preserve">An Autonomous Pancreatic Lesion Annotation and Radiologist Review System</w:t>
      </w:r>
    </w:p>
    <w:p>
      <w:pPr>
        <w:pBdr>
          <w:top w:val="single" w:color="C8D4DC" w:sz="8" w:space="12"/>
        </w:pBdr>
        <w:spacing w:after="240" w:before="280"/>
        <w:jc w:val="center"/>
      </w:pPr>
      <w:r>
        <w:rPr>
          <w:b/>
          <w:bCs/>
          <w:color w:val="24313D"/>
          <w:sz w:val="26"/>
          <w:szCs w:val="26"/>
        </w:rPr>
        <w:t xml:space="preserve">Quinton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Motivation and Purpose</w:t>
      </w:r>
    </w:p>
    <w:p>
      <w:pPr>
        <w:pStyle w:val="BodyText"/>
      </w:pPr>
      <w:r>
        <w:t xml:space="preserve">Medical imaging matters to me because the distance between what a scan contains and what a clinician can act on has affected my family directly. In 1998 my grandfather had a stroke. The initial angiogram did not reveal the clot, and the event was recorded as a transient ischemic attack. The clot was found months later, after the damage was permanent. He lived with dementia for the rest of his life and died last year. That experience is why the gap between an image and an actionable understanding is not an abstract problem to me.</w:t>
      </w:r>
    </w:p>
    <w:p>
      <w:pPr>
        <w:pStyle w:val="BodyText"/>
      </w:pPr>
      <w:r>
        <w:t xml:space="preserve">There is also a long history of healthcare in my family. My step-grandfather spent his career as a radiologist, my mother began radiology school, and my grandfather worked in healthcare leadership at Intermountain Healthcare. Johns Hopkins research shaped many of the clinical practices he followed. My aunt is a diagnostic care coordinator who schedules biopsies, works with CT imaging, and helps patients understand what their imaging showed. When I described this project to her, she explained why pancreatic imaging is especially difficult in practice.</w:t>
      </w:r>
    </w:p>
    <w:p>
      <w:pPr>
        <w:pStyle w:val="BodyText"/>
      </w:pPr>
      <w:r>
        <w:t xml:space="preserve">I chose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Software that locates the organ, proposes contours, and brings a reviewer to a suspicious area does not replace that reviewer’s judgment. It helps the human reach the right part of the image and keeps the human decision at the center of the workflow.</w:t>
      </w:r>
    </w:p>
    <w:p>
      <w:pPr>
        <w:pStyle w:val="Heading1"/>
      </w:pPr>
      <w:r>
        <w:t xml:space="preserve">2. Project Overview and Intended User</w:t>
      </w:r>
    </w:p>
    <w:p>
      <w:pPr>
        <w:pStyle w:val="BodyText"/>
      </w:pPr>
      <w:r>
        <w:t xml:space="preserve">This capstone will build an autonomous pancreatic-lesion annotation-assist system for radiologists and radiology clinicians reviewing abdominal CT. When a scan enters the system, the imaging pipeline will locate the pancreas, outline the organ and any suspected lesion, calculate useful measurements, and assign a score that helps order the review worklist. The reviewer will see the scan and proposed contours, then accept, edit, or reject them. That decision will be stored as part of the system’s correction and limitation history.</w:t>
      </w:r>
    </w:p>
    <w:p>
      <w:pPr>
        <w:pStyle w:val="BodyText"/>
      </w:pPr>
      <w:r>
        <w:rPr>
          <w:b/>
          <w:bCs/>
          <w:color w:val="153A5B"/>
        </w:rPr>
        <w:t xml:space="preserve">Why PROWL. </w:t>
      </w:r>
      <w:r>
        <w:t xml:space="preserve">PROWL stands for Pancreatic Review and Outlining Workflow for Lesions. The name follows the intended workflow: the system locates the pancreas, outlines suspected lesions, and returns its proposed contours to a radiologist for review, editing, or rejection.</w:t>
      </w:r>
    </w:p>
    <w:p>
      <w:pPr>
        <w:pStyle w:val="BodyText"/>
      </w:pPr>
      <w:r>
        <w:rPr>
          <w:b/>
          <w:bCs/>
          <w:color w:val="153A5B"/>
        </w:rPr>
        <w:t xml:space="preserve">The present limitation. </w:t>
      </w:r>
      <w:r>
        <w:t xml:space="preserve">A model developed during the preceding project detected tumors in 96% of positive patients but correctly left only 17% of healthy patients unflagged. It also required the pancreas location to be supplied before segmentation. Those results show both the potential of the approach and the two problems the capstone must address: too many false alarms and the need for autonomous localization.</w:t>
      </w:r>
    </w:p>
    <w:p>
      <w:pPr>
        <w:pStyle w:val="BodyText"/>
      </w:pPr>
      <w:r>
        <w:rPr>
          <w:b/>
          <w:bCs/>
          <w:color w:val="153A5B"/>
        </w:rPr>
        <w:t xml:space="preserve">The capstone need. </w:t>
      </w:r>
      <w:r>
        <w:t xml:space="preserve">The project will train and evaluate new models for the autonomous system, measure the accuracy lost when localization becomes automatic, and use model experimentation to improve the balance between detected tumors and false alarms. The previous result is evidence that motivates the work; the previous trained model will not be reused as the capstone model.</w:t>
      </w:r>
    </w:p>
    <w:p>
      <w:pPr>
        <w:pStyle w:val="BodyText"/>
      </w:pPr>
      <w:r>
        <w:rPr>
          <w:b/>
          <w:bCs/>
          <w:color w:val="153A5B"/>
        </w:rPr>
        <w:t xml:space="preserve">Supporting knowledge access. </w:t>
      </w:r>
      <w:r>
        <w:t xml:space="preserve">A connected literature assistant will retrieve relevant source passages for the structured imaging findings, show citations beside supported statements, and decline when the available material does not support an answer. This is a supporting workstream within the review workflow rather than the central modeling contribution.</w:t>
      </w:r>
    </w:p>
    <w:p>
      <w:pPr>
        <w:pStyle w:val="BodyText"/>
      </w:pPr>
      <w:r>
        <w:rPr>
          <w:b/>
          <w:bCs/>
          <w:color w:val="153A5B"/>
        </w:rPr>
        <w:t xml:space="preserve">Professional value. </w:t>
      </w:r>
      <w:r>
        <w:t xml:space="preserve">The deliverable is a reproducible system with known data history, controlled evaluation, recorded reviewer decisions, documented risks, and a usable interface. A difficult experiment may produce a null result; the system, evaluation process, and honest account of its limitations are not optional.</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3. Starting Point and New Capstone Work</w:t>
      </w:r>
    </w:p>
    <w:p>
      <w:pPr>
        <w:pStyle w:val="BodyText"/>
      </w:pPr>
      <w:r>
        <w:t xml:space="preserve">The prior project contributes experience, failure analysis, and selected validated pipeline structure—not a completed model for the capstone. Data-preparation and evaluation components may be adapted where they remain appropriate, but no model trained during the preceding project will be reused as a capstone model. New models will be trained and evaluated under the capstone’s autonomous and multi-source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Prior project provides</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Capstone will produce</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preparing and evaluating 3D medical images</w:t>
            </w:r>
          </w:p>
        </w:tc>
        <w:tc>
          <w:tcPr>
            <w:tcW w:type="dxa" w:w="5040"/>
            <w:tcMar>
              <w:top w:type="dxa" w:w="100"/>
              <w:left w:type="dxa" w:w="120"/>
              <w:bottom w:type="dxa" w:w="100"/>
              <w:right w:type="dxa" w:w="120"/>
            </w:tcMar>
            <w:vAlign w:val="center"/>
          </w:tcPr>
          <w:p>
            <w:pPr>
              <w:pStyle w:val="TableText"/>
            </w:pPr>
            <w:r>
              <w:t xml:space="preserve">New models trained and evaluated for an autonomous system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 validated structure for data preparation and evaluation</w:t>
            </w:r>
          </w:p>
        </w:tc>
        <w:tc>
          <w:tcPr>
            <w:tcW w:type="dxa" w:w="5040"/>
            <w:shd w:fill="F4F6F8" w:color="auto" w:val="clear"/>
            <w:tcMar>
              <w:top w:type="dxa" w:w="100"/>
              <w:left w:type="dxa" w:w="120"/>
              <w:bottom w:type="dxa" w:w="100"/>
              <w:right w:type="dxa" w:w="120"/>
            </w:tcMar>
            <w:vAlign w:val="center"/>
          </w:tcPr>
          <w:p>
            <w:pPr>
              <w:pStyle w:val="TableText"/>
            </w:pPr>
            <w:r>
              <w:t xml:space="preserve">A pipeline adapted for multiple data sources and the new experimental design</w:t>
            </w:r>
          </w:p>
        </w:tc>
      </w:tr>
      <w:tr>
        <w:trPr>
          <w:cantSplit/>
          <w:tblHeader w:val="false"/>
        </w:trPr>
        <w:tc>
          <w:tcPr>
            <w:tcW w:type="dxa" w:w="5040"/>
            <w:tcMar>
              <w:top w:type="dxa" w:w="100"/>
              <w:left w:type="dxa" w:w="120"/>
              <w:bottom w:type="dxa" w:w="100"/>
              <w:right w:type="dxa" w:w="120"/>
            </w:tcMar>
            <w:vAlign w:val="center"/>
          </w:tcPr>
          <w:p>
            <w:pPr>
              <w:pStyle w:val="TableText"/>
            </w:pPr>
            <w:r>
              <w:t xml:space="preserve">Documented experiments and lessons from approaches that succeeded or failed</w:t>
            </w:r>
          </w:p>
        </w:tc>
        <w:tc>
          <w:tcPr>
            <w:tcW w:type="dxa" w:w="5040"/>
            <w:tcMar>
              <w:top w:type="dxa" w:w="100"/>
              <w:left w:type="dxa" w:w="120"/>
              <w:bottom w:type="dxa" w:w="100"/>
              <w:right w:type="dxa" w:w="120"/>
            </w:tcMar>
            <w:vAlign w:val="center"/>
          </w:tcPr>
          <w:p>
            <w:pPr>
              <w:pStyle w:val="TableText"/>
            </w:pPr>
            <w:r>
              <w:t xml:space="preserve">Model experimentation selected from the new baseline and its measured errors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Knowledge of false alarms, data leakage, and dependence on a provided region</w:t>
            </w:r>
          </w:p>
        </w:tc>
        <w:tc>
          <w:tcPr>
            <w:tcW w:type="dxa" w:w="5040"/>
            <w:shd w:fill="F4F6F8" w:color="auto" w:val="clear"/>
            <w:tcMar>
              <w:top w:type="dxa" w:w="100"/>
              <w:left w:type="dxa" w:w="120"/>
              <w:bottom w:type="dxa" w:w="100"/>
              <w:right w:type="dxa" w:w="120"/>
            </w:tcMar>
            <w:vAlign w:val="center"/>
          </w:tcPr>
          <w:p>
            <w:pPr>
              <w:pStyle w:val="TableText"/>
            </w:pPr>
            <w:r>
              <w:t xml:space="preserve">Patient-level evaluation designed around those known risks</w:t>
            </w:r>
          </w:p>
        </w:tc>
      </w:tr>
      <w:tr>
        <w:trPr>
          <w:cantSplit/>
          <w:tblHeader w:val="false"/>
        </w:trPr>
        <w:tc>
          <w:tcPr>
            <w:tcW w:type="dxa" w:w="5040"/>
            <w:tcMar>
              <w:top w:type="dxa" w:w="100"/>
              <w:left w:type="dxa" w:w="120"/>
              <w:bottom w:type="dxa" w:w="100"/>
              <w:right w:type="dxa" w:w="120"/>
            </w:tcMar>
            <w:vAlign w:val="center"/>
          </w:tcPr>
          <w:p>
            <w:pPr>
              <w:pStyle w:val="TableText"/>
            </w:pPr>
            <w:r>
              <w:t xml:space="preserve">Experience with model tracking, serving, and medical-image review</w:t>
            </w:r>
          </w:p>
        </w:tc>
        <w:tc>
          <w:tcPr>
            <w:tcW w:type="dxa" w:w="5040"/>
            <w:tcMar>
              <w:top w:type="dxa" w:w="100"/>
              <w:left w:type="dxa" w:w="120"/>
              <w:bottom w:type="dxa" w:w="100"/>
              <w:right w:type="dxa" w:w="120"/>
            </w:tcMar>
            <w:vAlign w:val="center"/>
          </w:tcPr>
          <w:p>
            <w:pPr>
              <w:pStyle w:val="TableText"/>
            </w:pPr>
            <w:r>
              <w:t xml:space="preserve">An integrated workflow built and evaluated for the capstone system</w:t>
            </w:r>
          </w:p>
        </w:tc>
      </w:tr>
    </w:tbl>
    <w:p>
      <w:pPr>
        <w:pStyle w:val="Heading2"/>
      </w:pPr>
      <w:r>
        <w:t xml:space="preserve">Multi-source integration in plain language</w:t>
      </w:r>
    </w:p>
    <w:p>
      <w:pPr>
        <w:pStyle w:val="BodyText"/>
      </w:pPr>
      <w:r>
        <w:t xml:space="preserve">The imaging work will combine PanTS and PANORAMA. Their scans use compatible medical-image formats, but their labels, annotation quality, identifiers, and definitions of a negative case differ, and some scans may appear in both sources. Before combined data enters training or evaluation, the project will match records, remove known overlap, test for undeclared duplicates, record where each annotation came from, and keep every patient entirely within one data group. This prevents data leakage—the mistake of allowing information from an evaluation patient to influence training and make performance appear better than it really is. Detailed counts and reconciliation rules belong in the technical appendix.</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conditions,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full-volume inference, and patient-level evaluation. </w:t>
      </w:r>
      <w:r>
        <w:rPr>
          <w:b/>
          <w:bCs/>
        </w:rPr>
        <w:t xml:space="preserve">Experience: </w:t>
      </w:r>
      <w:r>
        <w:t xml:space="preserve">Strong with the validated pipeline structure and evaluation process. </w:t>
      </w:r>
      <w:r>
        <w:rPr>
          <w:b/>
          <w:bCs/>
        </w:rPr>
        <w:t xml:space="preserve">Growth plan: </w:t>
      </w:r>
      <w:r>
        <w:t xml:space="preserve">Train new models, deepen autonomous localization and error analysis, and make model choices from evidence.</w:t>
      </w:r>
    </w:p>
    <w:p>
      <w:pPr>
        <w:pStyle w:val="BodyText"/>
        <w:numPr>
          <w:ilvl w:val="0"/>
          <w:numId w:val="2"/>
        </w:numPr>
      </w:pPr>
      <w:r>
        <w:rPr>
          <w:b/>
          <w:bCs/>
          <w:color w:val="153A5B"/>
        </w:rPr>
        <w:t xml:space="preserve">Data integration and quality. </w:t>
      </w:r>
      <w:r>
        <w:t xml:space="preserve">Demonstrates combining datasets, matching records across sources, reconciling label meaning, tracking annotation origin, detecting duplicates, and protecting evaluation data. </w:t>
      </w:r>
      <w:r>
        <w:rPr>
          <w:b/>
          <w:bCs/>
        </w:rPr>
        <w:t xml:space="preserve">Experience: </w:t>
      </w:r>
      <w:r>
        <w:t xml:space="preserve">Experienced combining datasets and building reproducible data pipelines. </w:t>
      </w:r>
      <w:r>
        <w:rPr>
          <w:b/>
          <w:bCs/>
        </w:rPr>
        <w:t xml:space="preserve">Growth plan: </w:t>
      </w:r>
      <w:r>
        <w:t xml:space="preserve">Apply that experience to the project’s validation, provenance, and evaluation controls, and document the reconciliation evidence in the technical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retrieval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retrieved material is insufficient. </w:t>
      </w:r>
      <w:r>
        <w:rPr>
          <w:b/>
          <w:bCs/>
        </w:rPr>
        <w:t xml:space="preserve">Experience: </w:t>
      </w:r>
      <w:r>
        <w:t xml:space="preserve">Familiar with retrieval and language-model workflows. </w:t>
      </w:r>
      <w:r>
        <w:rPr>
          <w:b/>
          <w:bCs/>
        </w:rPr>
        <w:t xml:space="preserve">Growth plan: </w:t>
      </w:r>
      <w:r>
        <w:t xml:space="preserve">Focus on measured retrieval quality, grounded responses, and safe system boundaries.</w:t>
      </w:r>
    </w:p>
    <w:p>
      <w:pPr>
        <w:pStyle w:val="BodyText"/>
        <w:numPr>
          <w:ilvl w:val="0"/>
          <w:numId w:val="2"/>
        </w:numPr>
      </w:pPr>
      <w:r>
        <w:rPr>
          <w:b/>
          <w:bCs/>
          <w:color w:val="153A5B"/>
        </w:rPr>
        <w:t xml:space="preserve">Application integration — FastAPI, React, and NiiVue. </w:t>
      </w:r>
      <w:r>
        <w:t xml:space="preserve">Demonstrates a service connecting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Apply that experience to the capstone interface and refine it through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scalable training. </w:t>
      </w:r>
      <w:r>
        <w:rPr>
          <w:b/>
          <w:bCs/>
        </w:rPr>
        <w:t xml:space="preserve">Experience: </w:t>
      </w:r>
      <w:r>
        <w:t xml:space="preserve">Strong with experiment tracking and containers; less experience budgeting rented GPU training. </w:t>
      </w:r>
      <w:r>
        <w:rPr>
          <w:b/>
          <w:bCs/>
        </w:rPr>
        <w:t xml:space="preserve">Growth plan: </w:t>
      </w:r>
      <w:r>
        <w:t xml:space="preserve">Benchmark hardware first, set a spending ceiling, record cost per experiment, and stop rental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proposed contours.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Train and evaluate new models for pancreas localization and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new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Heading2"/>
      </w:pPr>
      <w:r>
        <w:t xml:space="preserve">Stretch opportunities</w:t>
      </w:r>
    </w:p>
    <w:p>
      <w:pPr>
        <w:pStyle w:val="BodyText"/>
      </w:pPr>
      <w:r>
        <w:t xml:space="preserve">The estimates below describe hands-on implementation time after the committed system is functioning. They do not include waiting for an outside reviewer, and no stretch opportunity is presented as a guaranteed improvement.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780"/>
      </w:tblGrid>
      <w:tr>
        <w:trPr>
          <w:cantSplit/>
          <w:tblHeader/>
        </w:trPr>
        <w:tc>
          <w:tcPr>
            <w:tcW w:type="dxa" w:w="2100"/>
            <w:shd w:fill="153A5B" w:color="auto" w:val="clear"/>
            <w:tcMar>
              <w:top w:type="dxa" w:w="100"/>
              <w:left w:type="dxa" w:w="120"/>
              <w:bottom w:type="dxa" w:w="100"/>
              <w:right w:type="dxa" w:w="120"/>
            </w:tcMar>
            <w:vAlign w:val="center"/>
          </w:tcPr>
          <w:p>
            <w:pPr>
              <w:pStyle w:val="TableHeader"/>
            </w:pPr>
            <w:r>
              <w:rPr>
                <w:b/>
                <w:bCs/>
                <w:color w:val="FFFFFF"/>
              </w:rPr>
              <w:t xml:space="preserve">Stretch opportunity</w:t>
            </w:r>
          </w:p>
        </w:tc>
        <w:tc>
          <w:tcPr>
            <w:tcW w:type="dxa" w:w="3900"/>
            <w:shd w:fill="153A5B" w:color="auto" w:val="clear"/>
            <w:tcMar>
              <w:top w:type="dxa" w:w="100"/>
              <w:left w:type="dxa" w:w="120"/>
              <w:bottom w:type="dxa" w:w="100"/>
              <w:right w:type="dxa" w:w="120"/>
            </w:tcMar>
            <w:vAlign w:val="center"/>
          </w:tcPr>
          <w:p>
            <w:pPr>
              <w:pStyle w:val="TableHeader"/>
            </w:pPr>
            <w:r>
              <w:rPr>
                <w:b/>
                <w:bCs/>
                <w:color w:val="FFFFFF"/>
              </w:rPr>
              <w:t xml:space="preserve">Scope and potential benefit</w:t>
            </w:r>
          </w:p>
        </w:tc>
        <w:tc>
          <w:tcPr>
            <w:tcW w:type="dxa" w:w="1300"/>
            <w:shd w:fill="153A5B" w:color="auto" w:val="clear"/>
            <w:tcMar>
              <w:top w:type="dxa" w:w="100"/>
              <w:left w:type="dxa" w:w="120"/>
              <w:bottom w:type="dxa" w:w="100"/>
              <w:right w:type="dxa" w:w="120"/>
            </w:tcMar>
            <w:vAlign w:val="center"/>
          </w:tcPr>
          <w:p>
            <w:pPr>
              <w:pStyle w:val="TableHeader"/>
            </w:pPr>
            <w:r>
              <w:rPr>
                <w:b/>
                <w:bCs/>
                <w:color w:val="FFFFFF"/>
              </w:rPr>
              <w:t xml:space="preserve">Complexity</w:t>
            </w:r>
          </w:p>
        </w:tc>
        <w:tc>
          <w:tcPr>
            <w:tcW w:type="dxa" w:w="2780"/>
            <w:shd w:fill="153A5B" w:color="auto" w:val="clear"/>
            <w:tcMar>
              <w:top w:type="dxa" w:w="100"/>
              <w:left w:type="dxa" w:w="120"/>
              <w:bottom w:type="dxa" w:w="100"/>
              <w:right w:type="dxa" w:w="120"/>
            </w:tcMar>
            <w:vAlign w:val="center"/>
          </w:tcPr>
          <w:p>
            <w:pPr>
              <w:pStyle w:val="TableHeader"/>
            </w:pPr>
            <w:r>
              <w:rPr>
                <w:b/>
                <w:bCs/>
                <w:color w:val="FFFFFF"/>
              </w:rPr>
              <w:t xml:space="preserve">Estimated implementation effort</w:t>
            </w:r>
          </w:p>
        </w:tc>
      </w:tr>
      <w:tr>
        <w:trPr>
          <w:cantSplit/>
          <w:tblHeader w:val="false"/>
        </w:trPr>
        <w:tc>
          <w:tcPr>
            <w:tcW w:type="dxa" w:w="2100"/>
            <w:tcMar>
              <w:top w:type="dxa" w:w="100"/>
              <w:left w:type="dxa" w:w="120"/>
              <w:bottom w:type="dxa" w:w="100"/>
              <w:right w:type="dxa" w:w="120"/>
            </w:tcMar>
            <w:vAlign w:val="center"/>
          </w:tcPr>
          <w:p>
            <w:pPr>
              <w:pStyle w:val="TableText"/>
            </w:pPr>
            <w:r>
              <w:t xml:space="preserve">Further model experimentation</w:t>
            </w:r>
          </w:p>
        </w:tc>
        <w:tc>
          <w:tcPr>
            <w:tcW w:type="dxa" w:w="3900"/>
            <w:tcMar>
              <w:top w:type="dxa" w:w="100"/>
              <w:left w:type="dxa" w:w="120"/>
              <w:bottom w:type="dxa" w:w="100"/>
              <w:right w:type="dxa" w:w="120"/>
            </w:tcMar>
            <w:vAlign w:val="center"/>
          </w:tcPr>
          <w:p>
            <w:pPr>
              <w:pStyle w:val="TableText"/>
            </w:pPr>
            <w:r>
              <w:t xml:space="preserve">Run an additional evidence-driven comparison after the required baseline experiment, increasing the chance of finding a better accuracy or false-alarm tradeoff.</w:t>
            </w:r>
          </w:p>
        </w:tc>
        <w:tc>
          <w:tcPr>
            <w:tcW w:type="dxa" w:w="1300"/>
            <w:tcMar>
              <w:top w:type="dxa" w:w="100"/>
              <w:left w:type="dxa" w:w="120"/>
              <w:bottom w:type="dxa" w:w="100"/>
              <w:right w:type="dxa" w:w="120"/>
            </w:tcMar>
            <w:vAlign w:val="center"/>
          </w:tcPr>
          <w:p>
            <w:pPr>
              <w:pStyle w:val="TableText"/>
            </w:pPr>
            <w:r>
              <w:t xml:space="preserve">High</w:t>
            </w:r>
          </w:p>
        </w:tc>
        <w:tc>
          <w:tcPr>
            <w:tcW w:type="dxa" w:w="2780"/>
            <w:tcMar>
              <w:top w:type="dxa" w:w="100"/>
              <w:left w:type="dxa" w:w="120"/>
              <w:bottom w:type="dxa" w:w="100"/>
              <w:right w:type="dxa" w:w="120"/>
            </w:tcMar>
            <w:vAlign w:val="center"/>
          </w:tcPr>
          <w:p>
            <w:pPr>
              <w:pStyle w:val="TableText"/>
            </w:pPr>
            <w:r>
              <w:t xml:space="preserve">1–2 weeks per additional experiment, including training, evaluation, and analysis.</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Expanded text sources</w:t>
            </w:r>
          </w:p>
        </w:tc>
        <w:tc>
          <w:tcPr>
            <w:tcW w:type="dxa" w:w="3900"/>
            <w:shd w:fill="F4F6F8" w:color="auto" w:val="clear"/>
            <w:tcMar>
              <w:top w:type="dxa" w:w="100"/>
              <w:left w:type="dxa" w:w="120"/>
              <w:bottom w:type="dxa" w:w="100"/>
              <w:right w:type="dxa" w:w="120"/>
            </w:tcMar>
            <w:vAlign w:val="center"/>
          </w:tcPr>
          <w:p>
            <w:pPr>
              <w:pStyle w:val="TableText"/>
            </w:pPr>
            <w:r>
              <w:t xml:space="preserve">Add PanTS text resources or broader literature coverage, then remeasure whether retrieval improves without reducing precision.</w:t>
            </w:r>
          </w:p>
        </w:tc>
        <w:tc>
          <w:tcPr>
            <w:tcW w:type="dxa" w:w="1300"/>
            <w:shd w:fill="F4F6F8" w:color="auto" w:val="clear"/>
            <w:tcMar>
              <w:top w:type="dxa" w:w="100"/>
              <w:left w:type="dxa" w:w="120"/>
              <w:bottom w:type="dxa" w:w="100"/>
              <w:right w:type="dxa" w:w="120"/>
            </w:tcMar>
            <w:vAlign w:val="center"/>
          </w:tcPr>
          <w:p>
            <w:pPr>
              <w:pStyle w:val="TableText"/>
            </w:pPr>
            <w:r>
              <w:t xml:space="preserve">Medium</w:t>
            </w:r>
          </w:p>
        </w:tc>
        <w:tc>
          <w:tcPr>
            <w:tcW w:type="dxa" w:w="2780"/>
            <w:shd w:fill="F4F6F8" w:color="auto" w:val="clear"/>
            <w:tcMar>
              <w:top w:type="dxa" w:w="100"/>
              <w:left w:type="dxa" w:w="120"/>
              <w:bottom w:type="dxa" w:w="100"/>
              <w:right w:type="dxa" w:w="120"/>
            </w:tcMar>
            <w:vAlign w:val="center"/>
          </w:tcPr>
          <w:p>
            <w:pPr>
              <w:pStyle w:val="TableText"/>
            </w:pPr>
            <w:r>
              <w:t xml:space="preserve">3–5 working days for ingestion, indexing, and evaluation updates.</w:t>
            </w:r>
          </w:p>
        </w:tc>
      </w:tr>
      <w:tr>
        <w:trPr>
          <w:cantSplit/>
          <w:tblHeader w:val="false"/>
        </w:trPr>
        <w:tc>
          <w:tcPr>
            <w:tcW w:type="dxa" w:w="2100"/>
            <w:tcMar>
              <w:top w:type="dxa" w:w="100"/>
              <w:left w:type="dxa" w:w="120"/>
              <w:bottom w:type="dxa" w:w="100"/>
              <w:right w:type="dxa" w:w="120"/>
            </w:tcMar>
            <w:vAlign w:val="center"/>
          </w:tcPr>
          <w:p>
            <w:pPr>
              <w:pStyle w:val="TableText"/>
            </w:pPr>
            <w:r>
              <w:t xml:space="preserve">Richer report support</w:t>
            </w:r>
          </w:p>
        </w:tc>
        <w:tc>
          <w:tcPr>
            <w:tcW w:type="dxa" w:w="3900"/>
            <w:tcMar>
              <w:top w:type="dxa" w:w="100"/>
              <w:left w:type="dxa" w:w="120"/>
              <w:bottom w:type="dxa" w:w="100"/>
              <w:right w:type="dxa" w:w="120"/>
            </w:tcMar>
            <w:vAlign w:val="center"/>
          </w:tcPr>
          <w:p>
            <w:pPr>
              <w:pStyle w:val="TableText"/>
            </w:pPr>
            <w:r>
              <w:t xml:space="preserve">Draft a structured summary from accepted findings and evaluate whether every statement remains complete, editable, and grounded in available evidence.</w:t>
            </w:r>
          </w:p>
        </w:tc>
        <w:tc>
          <w:tcPr>
            <w:tcW w:type="dxa" w:w="1300"/>
            <w:tcMar>
              <w:top w:type="dxa" w:w="100"/>
              <w:left w:type="dxa" w:w="120"/>
              <w:bottom w:type="dxa" w:w="100"/>
              <w:right w:type="dxa" w:w="120"/>
            </w:tcMar>
            <w:vAlign w:val="center"/>
          </w:tcPr>
          <w:p>
            <w:pPr>
              <w:pStyle w:val="TableText"/>
            </w:pPr>
            <w:r>
              <w:t xml:space="preserve">Medium–High</w:t>
            </w:r>
          </w:p>
        </w:tc>
        <w:tc>
          <w:tcPr>
            <w:tcW w:type="dxa" w:w="2780"/>
            <w:tcMar>
              <w:top w:type="dxa" w:w="100"/>
              <w:left w:type="dxa" w:w="120"/>
              <w:bottom w:type="dxa" w:w="100"/>
              <w:right w:type="dxa" w:w="120"/>
            </w:tcMar>
            <w:vAlign w:val="center"/>
          </w:tcPr>
          <w:p>
            <w:pPr>
              <w:pStyle w:val="TableText"/>
            </w:pPr>
            <w:r>
              <w:t xml:space="preserve">5–8 working days for generation, review controls, interface work, and evaluation.</w:t>
            </w:r>
          </w:p>
        </w:tc>
      </w:tr>
      <w:tr>
        <w:trPr>
          <w:cantSplit/>
          <w:tblHeader w:val="false"/>
        </w:trPr>
        <w:tc>
          <w:tcPr>
            <w:tcW w:type="dxa" w:w="2100"/>
            <w:shd w:fill="F4F6F8" w:color="auto" w:val="clear"/>
            <w:tcMar>
              <w:top w:type="dxa" w:w="100"/>
              <w:left w:type="dxa" w:w="120"/>
              <w:bottom w:type="dxa" w:w="100"/>
              <w:right w:type="dxa" w:w="120"/>
            </w:tcMar>
            <w:vAlign w:val="center"/>
          </w:tcPr>
          <w:p>
            <w:pPr>
              <w:pStyle w:val="TableText"/>
            </w:pPr>
            <w:r>
              <w:t xml:space="preserve">External evaluation</w:t>
            </w:r>
          </w:p>
        </w:tc>
        <w:tc>
          <w:tcPr>
            <w:tcW w:type="dxa" w:w="3900"/>
            <w:shd w:fill="F4F6F8" w:color="auto" w:val="clear"/>
            <w:tcMar>
              <w:top w:type="dxa" w:w="100"/>
              <w:left w:type="dxa" w:w="120"/>
              <w:bottom w:type="dxa" w:w="100"/>
              <w:right w:type="dxa" w:w="120"/>
            </w:tcMar>
            <w:vAlign w:val="center"/>
          </w:tcPr>
          <w:p>
            <w:pPr>
              <w:pStyle w:val="TableText"/>
            </w:pPr>
            <w:r>
              <w:t xml:space="preserve">Package the model, configuration, documentation, and outputs for an outside research team or hidden evaluation path.</w:t>
            </w:r>
          </w:p>
        </w:tc>
        <w:tc>
          <w:tcPr>
            <w:tcW w:type="dxa" w:w="1300"/>
            <w:shd w:fill="F4F6F8" w:color="auto" w:val="clear"/>
            <w:tcMar>
              <w:top w:type="dxa" w:w="100"/>
              <w:left w:type="dxa" w:w="120"/>
              <w:bottom w:type="dxa" w:w="100"/>
              <w:right w:type="dxa" w:w="120"/>
            </w:tcMar>
            <w:vAlign w:val="center"/>
          </w:tcPr>
          <w:p>
            <w:pPr>
              <w:pStyle w:val="TableText"/>
            </w:pPr>
            <w:r>
              <w:t xml:space="preserve">Medium internally; high external dependency</w:t>
            </w:r>
          </w:p>
        </w:tc>
        <w:tc>
          <w:tcPr>
            <w:tcW w:type="dxa" w:w="2780"/>
            <w:shd w:fill="F4F6F8" w:color="auto" w:val="clear"/>
            <w:tcMar>
              <w:top w:type="dxa" w:w="100"/>
              <w:left w:type="dxa" w:w="120"/>
              <w:bottom w:type="dxa" w:w="100"/>
              <w:right w:type="dxa" w:w="120"/>
            </w:tcMar>
            <w:vAlign w:val="center"/>
          </w:tcPr>
          <w:p>
            <w:pPr>
              <w:pStyle w:val="TableText"/>
            </w:pPr>
            <w:r>
              <w:t xml:space="preserve">2–4 working days to package and verify; response time is outside the project’s control.</w:t>
            </w:r>
          </w:p>
        </w:tc>
      </w:tr>
    </w:tbl>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while the limitation is disclosed.</w:t>
      </w:r>
    </w:p>
    <w:p>
      <w:pPr>
        <w:pStyle w:val="Heading1"/>
      </w:pPr>
      <w:r>
        <w:t xml:space="preserve">7. Professional Growth and Readiness</w:t>
      </w:r>
    </w:p>
    <w:p>
      <w:pPr>
        <w:pStyle w:val="BodyText"/>
      </w:pPr>
      <w:r>
        <w:t xml:space="preserve">The capstone challenges me beyond the preceding project in several ways. I must deepen my medical-imaging knowledge, work with multiple large data sources, design reliable data controls, remove a human-provided region from the model workflow, train new models,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reference.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Quinton Evans  |  PROWL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 BSAAI Capstone Proposal</dc:title>
  <dc:creator>Quinton Evans</dc:creator>
  <dc:description>PROWL: Pancreatic Review and Outlining Workflow for Lesions.</dc:description>
  <cp:lastModifiedBy>Un-named</cp:lastModifiedBy>
  <cp:revision>1</cp:revision>
  <dcterms:created xsi:type="dcterms:W3CDTF">2026-08-25T18:24:47.653Z</dcterms:created>
  <dcterms:modified xsi:type="dcterms:W3CDTF">2026-08-25T18:24:47.653Z</dcterms:modified>
</cp:coreProperties>
</file>

<file path=docProps/custom.xml><?xml version="1.0" encoding="utf-8"?>
<Properties xmlns="http://schemas.openxmlformats.org/officeDocument/2006/custom-properties" xmlns:vt="http://schemas.openxmlformats.org/officeDocument/2006/docPropsVTypes"/>
</file>